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A1" w:rsidRDefault="00F146A1" w:rsidP="00F146A1">
      <w:pPr>
        <w:pStyle w:val="Mezititulek"/>
      </w:pPr>
      <w:bookmarkStart w:id="0" w:name="_Hlk118744294"/>
      <w:r>
        <w:t xml:space="preserve">Příloha č. </w:t>
      </w:r>
      <w:r w:rsidR="00780A72">
        <w:t>1</w:t>
      </w:r>
      <w:bookmarkStart w:id="1" w:name="_GoBack"/>
      <w:bookmarkEnd w:id="1"/>
      <w:r>
        <w:t xml:space="preserve"> výzvy č. OPST 17</w:t>
      </w:r>
    </w:p>
    <w:p w:rsidR="00F146A1" w:rsidRDefault="00F146A1" w:rsidP="00F146A1">
      <w:pPr>
        <w:pStyle w:val="Nadpis2"/>
        <w:jc w:val="left"/>
        <w:rPr>
          <w:rFonts w:ascii="Segoe UI" w:eastAsia="Calibri" w:hAnsi="Segoe UI" w:cs="Segoe UI"/>
          <w:b w:val="0"/>
          <w:caps/>
          <w:color w:val="3E1F65"/>
          <w:sz w:val="36"/>
          <w:szCs w:val="36"/>
          <w:lang w:eastAsia="en-US"/>
        </w:rPr>
      </w:pPr>
      <w:r>
        <w:rPr>
          <w:rFonts w:ascii="Segoe UI" w:eastAsia="Calibri" w:hAnsi="Segoe UI" w:cs="Segoe UI"/>
          <w:b w:val="0"/>
          <w:caps/>
          <w:color w:val="3E1F65"/>
          <w:sz w:val="36"/>
          <w:szCs w:val="36"/>
          <w:lang w:eastAsia="en-US"/>
        </w:rPr>
        <w:t xml:space="preserve">Metodika pro sledování indikátorů – digitalizace prostředí pro poskytování pečovatelských služeb </w:t>
      </w:r>
      <w:bookmarkEnd w:id="0"/>
    </w:p>
    <w:tbl>
      <w:tblPr>
        <w:tblStyle w:val="Mkatabulky"/>
        <w:tblW w:w="0" w:type="auto"/>
        <w:tblLook w:val="04A0" w:firstRow="1" w:lastRow="0" w:firstColumn="1" w:lastColumn="0" w:noHBand="0" w:noVBand="1"/>
      </w:tblPr>
      <w:tblGrid>
        <w:gridCol w:w="2395"/>
        <w:gridCol w:w="6598"/>
      </w:tblGrid>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Název</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b/>
                <w:bCs/>
                <w:sz w:val="20"/>
              </w:rPr>
            </w:pPr>
            <w:r>
              <w:rPr>
                <w:rFonts w:ascii="Segoe UI" w:hAnsi="Segoe UI" w:cs="Segoe UI"/>
                <w:b/>
                <w:bCs/>
                <w:sz w:val="20"/>
              </w:rPr>
              <w:t>RCO 14 - veřejné instituce podpořené pro účely vývoje digitálních služeb, produktů a procesů</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Definice</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iCs/>
                <w:sz w:val="20"/>
              </w:rPr>
            </w:pPr>
            <w:r>
              <w:rPr>
                <w:rFonts w:ascii="Segoe UI" w:hAnsi="Segoe UI" w:cs="Segoe UI"/>
                <w:iCs/>
                <w:sz w:val="20"/>
              </w:rPr>
              <w:t>Veřejné instituce podpořené pro účely vývoje digitálních služeb, produktů a procesů.</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 xml:space="preserve">Měrná jednotka </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veřejné instituce</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Způsob kalkulace jednotky, výchozí, cílové a dosažené hodnoty indikátoru</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1 = jedna veřejná instituce, která je podpořená po účely vývoje digitálních služeb, produktů a procesů.</w:t>
            </w:r>
          </w:p>
          <w:p w:rsidR="00F146A1" w:rsidRDefault="00F146A1" w:rsidP="00054416">
            <w:pPr>
              <w:spacing w:after="120"/>
              <w:jc w:val="left"/>
              <w:rPr>
                <w:rFonts w:ascii="Segoe UI" w:hAnsi="Segoe UI" w:cs="Segoe UI"/>
                <w:sz w:val="20"/>
              </w:rPr>
            </w:pPr>
            <w:r>
              <w:rPr>
                <w:rFonts w:ascii="Segoe UI" w:hAnsi="Segoe UI" w:cs="Segoe UI"/>
                <w:sz w:val="20"/>
              </w:rPr>
              <w:t>Výchozí hodnota se stanoví jako "0".</w:t>
            </w:r>
          </w:p>
          <w:p w:rsidR="00F146A1" w:rsidRDefault="00F146A1" w:rsidP="00054416">
            <w:pPr>
              <w:spacing w:after="120"/>
              <w:jc w:val="left"/>
              <w:rPr>
                <w:rFonts w:ascii="Segoe UI" w:hAnsi="Segoe UI" w:cs="Segoe UI"/>
                <w:sz w:val="20"/>
              </w:rPr>
            </w:pPr>
            <w:r>
              <w:rPr>
                <w:rFonts w:ascii="Segoe UI" w:hAnsi="Segoe UI" w:cs="Segoe UI"/>
                <w:sz w:val="20"/>
              </w:rPr>
              <w:t>Cílová hodnota se stanoví jako součet počtu partnerů s finančním příspěvkem, kteří jsou veřejnými institucemi podpořenými pro účely vývoje digitálních služeb, produktů a procesů. + 1 za nositele projektu, pokud rovněž naplňuje tuto definici.</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Dokládání</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 xml:space="preserve">Příjemce potvrzuje dosažení hodnoty v rámci 1. </w:t>
            </w:r>
            <w:proofErr w:type="spellStart"/>
            <w:r>
              <w:rPr>
                <w:rFonts w:ascii="Segoe UI" w:hAnsi="Segoe UI" w:cs="Segoe UI"/>
                <w:sz w:val="20"/>
              </w:rPr>
              <w:t>ZoR</w:t>
            </w:r>
            <w:proofErr w:type="spellEnd"/>
            <w:r>
              <w:rPr>
                <w:rFonts w:ascii="Segoe UI" w:hAnsi="Segoe UI" w:cs="Segoe UI"/>
                <w:sz w:val="20"/>
              </w:rPr>
              <w:t>.</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Prokazování hodnot indikátoru v době udržitelnost</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Nerelevantní.</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Sankce v případě nenaplnění cílové hodnoty</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Skut. plnění indikátoru (x) &lt;100 % cílové hodnoty</w:t>
            </w:r>
            <w:r>
              <w:rPr>
                <w:lang w:eastAsia="en-US"/>
              </w:rPr>
              <w:t xml:space="preserve">: </w:t>
            </w:r>
            <w:r>
              <w:rPr>
                <w:rFonts w:ascii="Segoe UI" w:hAnsi="Segoe UI" w:cs="Segoe UI"/>
                <w:sz w:val="20"/>
              </w:rPr>
              <w:t>100 % finanční oprava z částky, ve které byla porušena rozpočtová kázeň.</w:t>
            </w:r>
          </w:p>
        </w:tc>
      </w:tr>
    </w:tbl>
    <w:p w:rsidR="00F146A1" w:rsidRDefault="00F146A1" w:rsidP="00F146A1">
      <w:pPr>
        <w:spacing w:after="120"/>
        <w:jc w:val="left"/>
        <w:rPr>
          <w:rFonts w:ascii="Segoe UI" w:hAnsi="Segoe UI" w:cs="Segoe UI"/>
          <w:sz w:val="20"/>
          <w:szCs w:val="20"/>
        </w:rPr>
      </w:pPr>
    </w:p>
    <w:tbl>
      <w:tblPr>
        <w:tblStyle w:val="Mkatabulky"/>
        <w:tblW w:w="0" w:type="auto"/>
        <w:tblLook w:val="04A0" w:firstRow="1" w:lastRow="0" w:firstColumn="1" w:lastColumn="0" w:noHBand="0" w:noVBand="1"/>
      </w:tblPr>
      <w:tblGrid>
        <w:gridCol w:w="2395"/>
        <w:gridCol w:w="6598"/>
      </w:tblGrid>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Název</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b/>
                <w:bCs/>
                <w:sz w:val="20"/>
              </w:rPr>
            </w:pPr>
            <w:r>
              <w:rPr>
                <w:rFonts w:ascii="Segoe UI" w:hAnsi="Segoe UI" w:cs="Segoe UI"/>
                <w:b/>
                <w:bCs/>
                <w:sz w:val="20"/>
              </w:rPr>
              <w:t>RCR 11 - uživatelé nových a aktualizovaných veřejných digitálních služeb a aplikací</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Definice</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iCs/>
                <w:sz w:val="20"/>
              </w:rPr>
            </w:pPr>
            <w:r>
              <w:rPr>
                <w:rFonts w:ascii="Segoe UI" w:hAnsi="Segoe UI" w:cs="Segoe UI"/>
                <w:iCs/>
                <w:sz w:val="20"/>
              </w:rPr>
              <w:t>Roční počet uživatelů digitálních veřejných služeb, produktů a procesů nově vyvinutých nebo výrazně vylepšených. Významná vylepšení zahrnují pouze nové funkce.</w:t>
            </w:r>
          </w:p>
          <w:p w:rsidR="00F146A1" w:rsidRDefault="00F146A1" w:rsidP="00054416">
            <w:pPr>
              <w:spacing w:after="120"/>
              <w:jc w:val="left"/>
              <w:rPr>
                <w:rFonts w:ascii="Segoe UI" w:hAnsi="Segoe UI" w:cs="Segoe UI"/>
                <w:i/>
                <w:sz w:val="20"/>
              </w:rPr>
            </w:pPr>
            <w:r>
              <w:rPr>
                <w:rFonts w:ascii="Segoe UI" w:hAnsi="Segoe UI" w:cs="Segoe UI"/>
                <w:iCs/>
                <w:sz w:val="20"/>
              </w:rPr>
              <w:t xml:space="preserve">Ukazatel má výchozí hodnotu 0, pouze pokud je digitální služba, produkt nebo proces nový. Uživateli jsou klienti nově vyvinuté nebo vylepšené </w:t>
            </w:r>
            <w:r>
              <w:rPr>
                <w:rFonts w:ascii="Segoe UI" w:hAnsi="Segoe UI" w:cs="Segoe UI"/>
                <w:iCs/>
                <w:sz w:val="20"/>
              </w:rPr>
              <w:lastRenderedPageBreak/>
              <w:t>veřejné služby a produktů a zaměstnanci veřejné instituce využívající nově vyvinuté nebo významně vylepšené digitální procesy.</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lastRenderedPageBreak/>
              <w:t xml:space="preserve">Měrná jednotka </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uživatelé/ rok</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Způsob kalkulace jednotky, výchozí, cílové a dosažené hodnoty indikátoru</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 xml:space="preserve">1 = 1 aktivní unikátní uživatel, který využije danou službu, produkt nebo proces alespoň jedenkrát ročně. </w:t>
            </w:r>
          </w:p>
          <w:p w:rsidR="00F146A1" w:rsidRDefault="00F146A1" w:rsidP="00054416">
            <w:pPr>
              <w:spacing w:after="120"/>
              <w:jc w:val="left"/>
              <w:rPr>
                <w:rFonts w:ascii="Segoe UI" w:hAnsi="Segoe UI" w:cs="Segoe UI"/>
                <w:sz w:val="20"/>
              </w:rPr>
            </w:pPr>
            <w:r>
              <w:rPr>
                <w:rFonts w:ascii="Segoe UI" w:hAnsi="Segoe UI" w:cs="Segoe UI"/>
                <w:sz w:val="20"/>
              </w:rPr>
              <w:t xml:space="preserve">Výchozí hodnota se stanoví jako "0", pokud se jedná o novou službu/ produkt/ proces. V případě, že se jedná o významně </w:t>
            </w:r>
            <w:proofErr w:type="spellStart"/>
            <w:r>
              <w:rPr>
                <w:rFonts w:ascii="Segoe UI" w:hAnsi="Segoe UI" w:cs="Segoe UI"/>
                <w:sz w:val="20"/>
              </w:rPr>
              <w:t>upragdovanou</w:t>
            </w:r>
            <w:proofErr w:type="spellEnd"/>
            <w:r>
              <w:rPr>
                <w:rFonts w:ascii="Segoe UI" w:hAnsi="Segoe UI" w:cs="Segoe UI"/>
                <w:sz w:val="20"/>
              </w:rPr>
              <w:t xml:space="preserve"> službu, produkt nebo proces, uvede se počet aktivních unikátních registrací nebo aktivních unikátních uživatelů během roku před zahájením podporované operace. </w:t>
            </w:r>
          </w:p>
          <w:p w:rsidR="00F146A1" w:rsidRDefault="00F146A1" w:rsidP="00054416">
            <w:pPr>
              <w:spacing w:after="120"/>
              <w:jc w:val="left"/>
              <w:rPr>
                <w:rFonts w:ascii="Segoe UI" w:hAnsi="Segoe UI" w:cs="Segoe UI"/>
                <w:sz w:val="20"/>
              </w:rPr>
            </w:pPr>
            <w:r>
              <w:rPr>
                <w:rFonts w:ascii="Segoe UI" w:hAnsi="Segoe UI" w:cs="Segoe UI"/>
                <w:sz w:val="20"/>
              </w:rPr>
              <w:t xml:space="preserve">Cílová hodnota se stanoví jako počet unikátních uživatelů rok po ukončení fyzické realizace projektu. </w:t>
            </w:r>
          </w:p>
          <w:p w:rsidR="00F146A1" w:rsidRDefault="00F146A1" w:rsidP="00054416">
            <w:pPr>
              <w:spacing w:after="120"/>
              <w:jc w:val="left"/>
              <w:rPr>
                <w:rFonts w:ascii="Segoe UI" w:hAnsi="Segoe UI" w:cs="Segoe UI"/>
                <w:sz w:val="20"/>
              </w:rPr>
            </w:pPr>
            <w:r>
              <w:rPr>
                <w:rFonts w:ascii="Segoe UI" w:hAnsi="Segoe UI" w:cs="Segoe UI"/>
                <w:sz w:val="20"/>
              </w:rPr>
              <w:t>Dosažená hodnota se sleduje jako skutečný počet unikátních uživatelů rok po ukončení fyzické realizace projektu.</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Dokládání</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 xml:space="preserve">Příjemce dokládá dosaženou hodnotu v rámci </w:t>
            </w:r>
            <w:proofErr w:type="spellStart"/>
            <w:r>
              <w:rPr>
                <w:rFonts w:ascii="Segoe UI" w:hAnsi="Segoe UI" w:cs="Segoe UI"/>
                <w:sz w:val="20"/>
              </w:rPr>
              <w:t>ZZoR</w:t>
            </w:r>
            <w:proofErr w:type="spellEnd"/>
            <w:r>
              <w:rPr>
                <w:rFonts w:ascii="Segoe UI" w:hAnsi="Segoe UI" w:cs="Segoe UI"/>
                <w:sz w:val="20"/>
              </w:rPr>
              <w:t xml:space="preserve"> / 1. </w:t>
            </w:r>
            <w:proofErr w:type="spellStart"/>
            <w:r>
              <w:rPr>
                <w:rFonts w:ascii="Segoe UI" w:hAnsi="Segoe UI" w:cs="Segoe UI"/>
                <w:sz w:val="20"/>
              </w:rPr>
              <w:t>ZoU</w:t>
            </w:r>
            <w:proofErr w:type="spellEnd"/>
            <w:r>
              <w:rPr>
                <w:rFonts w:ascii="Segoe UI" w:hAnsi="Segoe UI" w:cs="Segoe UI"/>
                <w:sz w:val="20"/>
              </w:rPr>
              <w:t xml:space="preserve"> a následně každý rok v rámci </w:t>
            </w:r>
            <w:proofErr w:type="spellStart"/>
            <w:r>
              <w:rPr>
                <w:rFonts w:ascii="Segoe UI" w:hAnsi="Segoe UI" w:cs="Segoe UI"/>
                <w:sz w:val="20"/>
              </w:rPr>
              <w:t>ZoU</w:t>
            </w:r>
            <w:proofErr w:type="spellEnd"/>
            <w:r>
              <w:rPr>
                <w:rFonts w:ascii="Segoe UI" w:hAnsi="Segoe UI" w:cs="Segoe UI"/>
                <w:sz w:val="20"/>
              </w:rPr>
              <w:t xml:space="preserve"> po dobu udržitelnosti, maximálně po dobu 5 let udržitelnosti:</w:t>
            </w:r>
          </w:p>
          <w:p w:rsidR="00F146A1" w:rsidRDefault="00F146A1" w:rsidP="00054416">
            <w:pPr>
              <w:spacing w:after="120"/>
              <w:jc w:val="left"/>
              <w:rPr>
                <w:rFonts w:ascii="Segoe UI" w:hAnsi="Segoe UI" w:cs="Segoe UI"/>
                <w:sz w:val="20"/>
              </w:rPr>
            </w:pPr>
            <w:r>
              <w:rPr>
                <w:rFonts w:ascii="Segoe UI" w:hAnsi="Segoe UI" w:cs="Segoe UI"/>
                <w:sz w:val="20"/>
              </w:rPr>
              <w:t>a) dokumentací prokazující počet unikátních uživatelů dané služby, produktu nebo procesu.</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Prokazování hodnot indikátoru v době udržitelnost</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Po dobu udržitelnosti projektu, maximálně po dobu 5 let udržitelnosti.</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Sankce v případě nenaplnění cílové hodnoty</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Uplatňují se 2 sankční mechanismy:</w:t>
            </w:r>
          </w:p>
          <w:p w:rsidR="00F146A1" w:rsidRDefault="00F146A1" w:rsidP="00F146A1">
            <w:pPr>
              <w:pStyle w:val="Odstavecseseznamem"/>
              <w:numPr>
                <w:ilvl w:val="0"/>
                <w:numId w:val="1"/>
              </w:numPr>
              <w:spacing w:after="120"/>
              <w:jc w:val="left"/>
              <w:rPr>
                <w:rFonts w:ascii="Segoe UI" w:hAnsi="Segoe UI" w:cs="Segoe UI"/>
                <w:i/>
                <w:iCs/>
                <w:sz w:val="20"/>
              </w:rPr>
            </w:pPr>
            <w:r>
              <w:rPr>
                <w:rFonts w:ascii="Segoe UI" w:hAnsi="Segoe UI" w:cs="Segoe UI"/>
                <w:i/>
                <w:iCs/>
                <w:sz w:val="20"/>
              </w:rPr>
              <w:t>Vzhledem k poslednímu roku před ukončením fyzické realizace projektu</w:t>
            </w:r>
          </w:p>
          <w:p w:rsidR="00F146A1" w:rsidRDefault="00F146A1" w:rsidP="00054416">
            <w:pPr>
              <w:spacing w:after="120"/>
              <w:jc w:val="left"/>
              <w:rPr>
                <w:rFonts w:ascii="Segoe UI" w:hAnsi="Segoe UI" w:cs="Segoe UI"/>
                <w:sz w:val="20"/>
              </w:rPr>
            </w:pPr>
            <w:r>
              <w:rPr>
                <w:rFonts w:ascii="Segoe UI" w:hAnsi="Segoe UI" w:cs="Segoe UI"/>
                <w:sz w:val="20"/>
              </w:rPr>
              <w:t>Skut. plnění indikátoru (x) ≥ 70 % cílové hodnoty</w:t>
            </w:r>
            <w:r>
              <w:rPr>
                <w:lang w:eastAsia="en-US"/>
              </w:rPr>
              <w:t xml:space="preserve">: </w:t>
            </w:r>
            <w:r>
              <w:rPr>
                <w:rFonts w:ascii="Segoe UI" w:hAnsi="Segoe UI" w:cs="Segoe UI"/>
                <w:sz w:val="20"/>
              </w:rPr>
              <w:t>bez finanční opravy</w:t>
            </w:r>
          </w:p>
          <w:p w:rsidR="00F146A1" w:rsidRDefault="00F146A1" w:rsidP="00054416">
            <w:pPr>
              <w:spacing w:after="120"/>
              <w:jc w:val="left"/>
              <w:rPr>
                <w:rFonts w:ascii="Segoe UI" w:hAnsi="Segoe UI" w:cs="Segoe UI"/>
                <w:sz w:val="20"/>
              </w:rPr>
            </w:pPr>
            <w:r>
              <w:rPr>
                <w:rFonts w:ascii="Segoe UI" w:hAnsi="Segoe UI" w:cs="Segoe UI"/>
                <w:sz w:val="20"/>
              </w:rPr>
              <w:t>40 % &lt;(x) &lt;70 %</w:t>
            </w:r>
            <w:r>
              <w:rPr>
                <w:lang w:eastAsia="en-US"/>
              </w:rPr>
              <w:t xml:space="preserve">: </w:t>
            </w:r>
            <w:r>
              <w:rPr>
                <w:rFonts w:ascii="Segoe UI" w:hAnsi="Segoe UI" w:cs="Segoe UI"/>
                <w:sz w:val="20"/>
              </w:rPr>
              <w:t>poměrná finanční oprava z částky, ve které byla porušena rozpočtová kázeň ve výši odpovídající poměru nedosažení indikátoru.</w:t>
            </w:r>
          </w:p>
          <w:p w:rsidR="00F146A1" w:rsidRDefault="00F146A1" w:rsidP="00054416">
            <w:pPr>
              <w:spacing w:after="120"/>
              <w:jc w:val="left"/>
              <w:rPr>
                <w:rFonts w:ascii="Segoe UI" w:hAnsi="Segoe UI" w:cs="Segoe UI"/>
                <w:sz w:val="20"/>
              </w:rPr>
            </w:pPr>
            <w:r>
              <w:rPr>
                <w:rFonts w:ascii="Segoe UI" w:hAnsi="Segoe UI" w:cs="Segoe UI"/>
                <w:sz w:val="20"/>
              </w:rPr>
              <w:t>(x) ≤40 %</w:t>
            </w:r>
            <w:r>
              <w:rPr>
                <w:lang w:eastAsia="en-US"/>
              </w:rPr>
              <w:t xml:space="preserve">: </w:t>
            </w:r>
            <w:r>
              <w:rPr>
                <w:rFonts w:ascii="Segoe UI" w:hAnsi="Segoe UI" w:cs="Segoe UI"/>
                <w:sz w:val="20"/>
              </w:rPr>
              <w:t xml:space="preserve">100 % finanční oprava z částky, ve které byla porušena rozpočtová kázeň. </w:t>
            </w:r>
          </w:p>
          <w:p w:rsidR="00F146A1" w:rsidRDefault="00F146A1" w:rsidP="00F146A1">
            <w:pPr>
              <w:pStyle w:val="Odstavecseseznamem"/>
              <w:numPr>
                <w:ilvl w:val="0"/>
                <w:numId w:val="1"/>
              </w:numPr>
              <w:spacing w:after="120"/>
              <w:jc w:val="left"/>
              <w:rPr>
                <w:rFonts w:ascii="Segoe UI" w:hAnsi="Segoe UI" w:cs="Segoe UI"/>
                <w:i/>
                <w:iCs/>
                <w:sz w:val="20"/>
              </w:rPr>
            </w:pPr>
            <w:r>
              <w:rPr>
                <w:rFonts w:ascii="Segoe UI" w:hAnsi="Segoe UI" w:cs="Segoe UI"/>
                <w:i/>
                <w:iCs/>
                <w:sz w:val="20"/>
              </w:rPr>
              <w:t>Vzhledem k době následující ukončení fyzické realizace projektu</w:t>
            </w:r>
          </w:p>
          <w:p w:rsidR="00F146A1" w:rsidRDefault="00F146A1" w:rsidP="00054416">
            <w:pPr>
              <w:spacing w:after="120"/>
              <w:jc w:val="left"/>
              <w:rPr>
                <w:rFonts w:ascii="Segoe UI" w:hAnsi="Segoe UI" w:cs="Segoe UI"/>
                <w:sz w:val="20"/>
              </w:rPr>
            </w:pPr>
            <w:r>
              <w:rPr>
                <w:rFonts w:ascii="Segoe UI" w:hAnsi="Segoe UI" w:cs="Segoe UI"/>
                <w:sz w:val="20"/>
              </w:rPr>
              <w:t xml:space="preserve">Skut. plnění indikátoru (x) ≥ </w:t>
            </w:r>
            <w:proofErr w:type="gramStart"/>
            <w:r>
              <w:rPr>
                <w:rFonts w:ascii="Segoe UI" w:hAnsi="Segoe UI" w:cs="Segoe UI"/>
                <w:sz w:val="20"/>
              </w:rPr>
              <w:t>35%</w:t>
            </w:r>
            <w:proofErr w:type="gramEnd"/>
            <w:r>
              <w:rPr>
                <w:rFonts w:ascii="Segoe UI" w:hAnsi="Segoe UI" w:cs="Segoe UI"/>
                <w:sz w:val="20"/>
              </w:rPr>
              <w:t xml:space="preserve"> cílové hodnoty</w:t>
            </w:r>
            <w:r>
              <w:rPr>
                <w:lang w:eastAsia="en-US"/>
              </w:rPr>
              <w:t xml:space="preserve">: </w:t>
            </w:r>
            <w:r>
              <w:rPr>
                <w:rFonts w:ascii="Segoe UI" w:hAnsi="Segoe UI" w:cs="Segoe UI"/>
                <w:sz w:val="20"/>
              </w:rPr>
              <w:t>bez finanční opravy</w:t>
            </w:r>
          </w:p>
          <w:p w:rsidR="00F146A1" w:rsidRDefault="00F146A1" w:rsidP="00054416">
            <w:pPr>
              <w:spacing w:after="120"/>
              <w:jc w:val="left"/>
              <w:rPr>
                <w:rFonts w:ascii="Segoe UI" w:hAnsi="Segoe UI" w:cs="Segoe UI"/>
                <w:sz w:val="20"/>
              </w:rPr>
            </w:pPr>
            <w:r>
              <w:rPr>
                <w:rFonts w:ascii="Segoe UI" w:hAnsi="Segoe UI" w:cs="Segoe UI"/>
                <w:sz w:val="20"/>
              </w:rPr>
              <w:lastRenderedPageBreak/>
              <w:t>20 % &lt;(x) &lt;35 %</w:t>
            </w:r>
            <w:r>
              <w:rPr>
                <w:lang w:eastAsia="en-US"/>
              </w:rPr>
              <w:t xml:space="preserve">: </w:t>
            </w:r>
            <w:r>
              <w:rPr>
                <w:rFonts w:ascii="Segoe UI" w:hAnsi="Segoe UI" w:cs="Segoe UI"/>
                <w:sz w:val="20"/>
              </w:rPr>
              <w:t>poměrná finanční oprava z částky, ve které byla porušena rozpočtová kázeň ve výši odpovídající poměru nedosažení indikátoru</w:t>
            </w:r>
          </w:p>
          <w:p w:rsidR="00F146A1" w:rsidRDefault="00F146A1" w:rsidP="00054416">
            <w:pPr>
              <w:spacing w:after="120"/>
              <w:jc w:val="left"/>
              <w:rPr>
                <w:rFonts w:ascii="Segoe UI" w:hAnsi="Segoe UI" w:cs="Segoe UI"/>
                <w:i/>
                <w:iCs/>
                <w:sz w:val="20"/>
              </w:rPr>
            </w:pPr>
            <w:r>
              <w:rPr>
                <w:rFonts w:ascii="Segoe UI" w:hAnsi="Segoe UI" w:cs="Segoe UI"/>
                <w:sz w:val="20"/>
              </w:rPr>
              <w:t>(x) ≤20 %</w:t>
            </w:r>
            <w:r>
              <w:rPr>
                <w:lang w:eastAsia="en-US"/>
              </w:rPr>
              <w:t xml:space="preserve">: </w:t>
            </w:r>
            <w:r>
              <w:rPr>
                <w:rFonts w:ascii="Segoe UI" w:hAnsi="Segoe UI" w:cs="Segoe UI"/>
                <w:sz w:val="20"/>
              </w:rPr>
              <w:t>100 % finanční oprava z částky, ve které byla porušena rozpočtová kázeň</w:t>
            </w:r>
          </w:p>
        </w:tc>
      </w:tr>
    </w:tbl>
    <w:p w:rsidR="00F146A1" w:rsidRDefault="00F146A1" w:rsidP="00F146A1">
      <w:pPr>
        <w:spacing w:after="120"/>
        <w:jc w:val="left"/>
        <w:rPr>
          <w:rFonts w:ascii="Segoe UI" w:hAnsi="Segoe UI" w:cs="Segoe UI"/>
          <w:sz w:val="20"/>
          <w:szCs w:val="20"/>
        </w:rPr>
      </w:pPr>
    </w:p>
    <w:tbl>
      <w:tblPr>
        <w:tblStyle w:val="Mkatabulky"/>
        <w:tblW w:w="0" w:type="auto"/>
        <w:tblLook w:val="04A0" w:firstRow="1" w:lastRow="0" w:firstColumn="1" w:lastColumn="0" w:noHBand="0" w:noVBand="1"/>
      </w:tblPr>
      <w:tblGrid>
        <w:gridCol w:w="2395"/>
        <w:gridCol w:w="6598"/>
      </w:tblGrid>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Název</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b/>
                <w:bCs/>
                <w:sz w:val="20"/>
              </w:rPr>
            </w:pPr>
            <w:r>
              <w:rPr>
                <w:rFonts w:ascii="Segoe UI" w:hAnsi="Segoe UI" w:cs="Segoe UI"/>
                <w:b/>
                <w:bCs/>
                <w:sz w:val="20"/>
              </w:rPr>
              <w:t>EECO 01 - celkový počet účastníků</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Definice</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iCs/>
                <w:sz w:val="20"/>
              </w:rPr>
            </w:pPr>
            <w:r>
              <w:rPr>
                <w:rFonts w:ascii="Segoe UI" w:hAnsi="Segoe UI" w:cs="Segoe UI"/>
                <w:iCs/>
                <w:sz w:val="20"/>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 xml:space="preserve">Měrná jednotka </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účastník</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Způsob kalkulace jednotky, výchozí, cílové a dosažené hodnoty indikátoru</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1 = 1 účastník aktivity.</w:t>
            </w:r>
          </w:p>
          <w:p w:rsidR="00F146A1" w:rsidRDefault="00F146A1" w:rsidP="00054416">
            <w:pPr>
              <w:spacing w:after="120"/>
              <w:jc w:val="left"/>
              <w:rPr>
                <w:rFonts w:ascii="Segoe UI" w:hAnsi="Segoe UI" w:cs="Segoe UI"/>
                <w:sz w:val="20"/>
              </w:rPr>
            </w:pPr>
            <w:r>
              <w:rPr>
                <w:rFonts w:ascii="Segoe UI" w:hAnsi="Segoe UI" w:cs="Segoe UI"/>
                <w:sz w:val="20"/>
              </w:rPr>
              <w:t>Výchozí hodnota se stanoví jako "0".</w:t>
            </w:r>
          </w:p>
          <w:p w:rsidR="00F146A1" w:rsidRDefault="00F146A1" w:rsidP="00054416">
            <w:pPr>
              <w:spacing w:after="120"/>
              <w:jc w:val="left"/>
              <w:rPr>
                <w:rFonts w:ascii="Segoe UI" w:hAnsi="Segoe UI" w:cs="Segoe UI"/>
                <w:sz w:val="20"/>
              </w:rPr>
            </w:pPr>
            <w:r>
              <w:rPr>
                <w:rFonts w:ascii="Segoe UI" w:hAnsi="Segoe UI" w:cs="Segoe UI"/>
                <w:sz w:val="20"/>
              </w:rPr>
              <w:t xml:space="preserve">Cílová hodnota se stanoví jako plánovaný celkový počet účastníků za dobu před ukončením fyzické realizace projektu. </w:t>
            </w:r>
          </w:p>
          <w:p w:rsidR="00F146A1" w:rsidRDefault="00F146A1" w:rsidP="00054416">
            <w:pPr>
              <w:spacing w:after="120"/>
              <w:jc w:val="left"/>
              <w:rPr>
                <w:rFonts w:ascii="Segoe UI" w:hAnsi="Segoe UI" w:cs="Segoe UI"/>
                <w:sz w:val="20"/>
              </w:rPr>
            </w:pPr>
            <w:r>
              <w:rPr>
                <w:rFonts w:ascii="Segoe UI" w:hAnsi="Segoe UI" w:cs="Segoe UI"/>
                <w:sz w:val="20"/>
              </w:rPr>
              <w:t>Dosažená hodnota se sleduje jako skutečný počet účastníků za dobu před ukončením fyzické realizace projektu.</w:t>
            </w:r>
          </w:p>
          <w:p w:rsidR="00F146A1" w:rsidRDefault="00F146A1" w:rsidP="00054416">
            <w:pPr>
              <w:spacing w:after="120"/>
              <w:jc w:val="left"/>
              <w:rPr>
                <w:rFonts w:ascii="Segoe UI" w:hAnsi="Segoe UI" w:cs="Segoe UI"/>
                <w:sz w:val="20"/>
              </w:rPr>
            </w:pPr>
            <w:r>
              <w:rPr>
                <w:rFonts w:ascii="Segoe UI" w:hAnsi="Segoe UI" w:cs="Segoe UI"/>
                <w:sz w:val="20"/>
              </w:rPr>
              <w:t xml:space="preserve">Každý účastník může být za tuto dobu projektu započítán maximálně 1x. </w:t>
            </w:r>
          </w:p>
          <w:p w:rsidR="00F146A1" w:rsidRDefault="00F146A1" w:rsidP="00054416">
            <w:pPr>
              <w:spacing w:after="120"/>
              <w:jc w:val="left"/>
              <w:rPr>
                <w:rFonts w:ascii="Segoe UI" w:hAnsi="Segoe UI" w:cs="Segoe UI"/>
                <w:sz w:val="20"/>
              </w:rPr>
            </w:pPr>
            <w:r>
              <w:rPr>
                <w:rFonts w:ascii="Segoe UI" w:hAnsi="Segoe UI" w:cs="Segoe UI"/>
                <w:sz w:val="20"/>
              </w:rPr>
              <w:t>Každý účastník musí být proškolen minimálně v rozsahu 40 hodin (</w:t>
            </w:r>
            <w:proofErr w:type="gramStart"/>
            <w:r>
              <w:rPr>
                <w:rFonts w:ascii="Segoe UI" w:hAnsi="Segoe UI" w:cs="Segoe UI"/>
                <w:sz w:val="20"/>
              </w:rPr>
              <w:t>1h</w:t>
            </w:r>
            <w:proofErr w:type="gramEnd"/>
            <w:r>
              <w:rPr>
                <w:rFonts w:ascii="Segoe UI" w:hAnsi="Segoe UI" w:cs="Segoe UI"/>
                <w:sz w:val="20"/>
              </w:rPr>
              <w:t xml:space="preserve"> = 60 minut, </w:t>
            </w:r>
            <w:r>
              <w:rPr>
                <w:rFonts w:ascii="Segoe UI" w:hAnsi="Segoe UI" w:cs="Segoe UI"/>
                <w:szCs w:val="18"/>
              </w:rPr>
              <w:t xml:space="preserve">45 minut pouze v případě, kdy se dle zákona 563/2004 Sb. o </w:t>
            </w:r>
            <w:proofErr w:type="spellStart"/>
            <w:r>
              <w:rPr>
                <w:rFonts w:ascii="Segoe UI" w:hAnsi="Segoe UI" w:cs="Segoe UI"/>
                <w:szCs w:val="18"/>
              </w:rPr>
              <w:t>ped</w:t>
            </w:r>
            <w:proofErr w:type="spellEnd"/>
            <w:r>
              <w:rPr>
                <w:rFonts w:ascii="Segoe UI" w:hAnsi="Segoe UI" w:cs="Segoe UI"/>
                <w:szCs w:val="18"/>
              </w:rPr>
              <w:t>. pracovnících a vyhlášky 317/2005 Sb. jedná o další vzdělávání pedagogických pracovníků</w:t>
            </w:r>
            <w:r>
              <w:rPr>
                <w:rFonts w:ascii="Segoe UI" w:hAnsi="Segoe UI" w:cs="Segoe UI"/>
                <w:sz w:val="16"/>
                <w:szCs w:val="16"/>
              </w:rPr>
              <w:t>.</w:t>
            </w:r>
            <w:r>
              <w:rPr>
                <w:rFonts w:ascii="Segoe UI" w:hAnsi="Segoe UI" w:cs="Segoe UI"/>
                <w:sz w:val="20"/>
              </w:rPr>
              <w:t>), a zároveň se musí účastnit alespoň 80 % rozsahu vybrané aktivity, aby mohl být do indikátoru započítán. Časová alokace vzdělávací aktivity (jednotlivého kurzu nebo skupiny kurzů vytvářející jeden vzdělávací celek) musí být rozvržena tak, že minimálně 75 % je zajištěno prezenční (fyzickou nebo online) formou výuky, zbývající část výuky může probíhat formou e-</w:t>
            </w:r>
            <w:proofErr w:type="spellStart"/>
            <w:r>
              <w:rPr>
                <w:rFonts w:ascii="Segoe UI" w:hAnsi="Segoe UI" w:cs="Segoe UI"/>
                <w:sz w:val="20"/>
              </w:rPr>
              <w:t>learningu</w:t>
            </w:r>
            <w:proofErr w:type="spellEnd"/>
            <w:r>
              <w:rPr>
                <w:rFonts w:ascii="Segoe UI" w:hAnsi="Segoe UI" w:cs="Segoe UI"/>
                <w:sz w:val="20"/>
              </w:rPr>
              <w:t>. V rámci e-</w:t>
            </w:r>
            <w:proofErr w:type="spellStart"/>
            <w:r>
              <w:rPr>
                <w:rFonts w:ascii="Segoe UI" w:hAnsi="Segoe UI" w:cs="Segoe UI"/>
                <w:sz w:val="20"/>
              </w:rPr>
              <w:t>learningu</w:t>
            </w:r>
            <w:proofErr w:type="spellEnd"/>
            <w:r>
              <w:rPr>
                <w:rFonts w:ascii="Segoe UI" w:hAnsi="Segoe UI" w:cs="Segoe UI"/>
                <w:sz w:val="20"/>
              </w:rPr>
              <w:t xml:space="preserve"> má uživatel k dispozici podporu (chat, diskusní fórum, e-mail apod.), a zároveň může využívat zpětnou vazbu ve formě testovacích otázek apod.</w:t>
            </w:r>
          </w:p>
          <w:p w:rsidR="00F146A1" w:rsidRPr="00F146A1" w:rsidRDefault="00F146A1" w:rsidP="00F146A1">
            <w:pPr>
              <w:pStyle w:val="Bezmezer"/>
              <w:spacing w:line="276" w:lineRule="auto"/>
              <w:jc w:val="left"/>
              <w:rPr>
                <w:rFonts w:ascii="Segoe UI" w:hAnsi="Segoe UI" w:cs="Segoe UI"/>
                <w:sz w:val="20"/>
              </w:rPr>
            </w:pPr>
            <w:r w:rsidRPr="00F146A1">
              <w:rPr>
                <w:rFonts w:ascii="Segoe UI" w:hAnsi="Segoe UI" w:cs="Segoe UI"/>
                <w:sz w:val="20"/>
              </w:rPr>
              <w:t>Vstupní data o podpořených osobách vkládá příjemce do</w:t>
            </w:r>
            <w:r>
              <w:rPr>
                <w:rFonts w:ascii="Segoe UI" w:hAnsi="Segoe UI" w:cs="Segoe UI"/>
                <w:sz w:val="20"/>
              </w:rPr>
              <w:t xml:space="preserve"> </w:t>
            </w:r>
            <w:r w:rsidRPr="00F146A1">
              <w:rPr>
                <w:rFonts w:ascii="Segoe UI" w:hAnsi="Segoe UI" w:cs="Segoe UI"/>
                <w:sz w:val="20"/>
              </w:rPr>
              <w:t>monitorovacího systému IS ESF.</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lastRenderedPageBreak/>
              <w:t>Dokládání</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 xml:space="preserve">Příjemce dokládá dosaženou hodnotu průběžně v rámci </w:t>
            </w:r>
            <w:proofErr w:type="spellStart"/>
            <w:r>
              <w:rPr>
                <w:rFonts w:ascii="Segoe UI" w:hAnsi="Segoe UI" w:cs="Segoe UI"/>
                <w:sz w:val="20"/>
              </w:rPr>
              <w:t>ZoR</w:t>
            </w:r>
            <w:proofErr w:type="spellEnd"/>
            <w:r>
              <w:rPr>
                <w:rFonts w:ascii="Segoe UI" w:hAnsi="Segoe UI" w:cs="Segoe UI"/>
                <w:sz w:val="20"/>
              </w:rPr>
              <w:t xml:space="preserve">/ </w:t>
            </w:r>
            <w:proofErr w:type="spellStart"/>
            <w:r>
              <w:rPr>
                <w:rFonts w:ascii="Segoe UI" w:hAnsi="Segoe UI" w:cs="Segoe UI"/>
                <w:sz w:val="20"/>
              </w:rPr>
              <w:t>ZZoR</w:t>
            </w:r>
            <w:proofErr w:type="spellEnd"/>
            <w:r>
              <w:rPr>
                <w:rFonts w:ascii="Segoe UI" w:hAnsi="Segoe UI" w:cs="Segoe UI"/>
                <w:sz w:val="20"/>
              </w:rPr>
              <w:t xml:space="preserve"> a následně v rámci </w:t>
            </w:r>
            <w:proofErr w:type="spellStart"/>
            <w:r>
              <w:rPr>
                <w:rFonts w:ascii="Segoe UI" w:hAnsi="Segoe UI" w:cs="Segoe UI"/>
                <w:sz w:val="20"/>
              </w:rPr>
              <w:t>ZoU</w:t>
            </w:r>
            <w:proofErr w:type="spellEnd"/>
            <w:r>
              <w:rPr>
                <w:rFonts w:ascii="Segoe UI" w:hAnsi="Segoe UI" w:cs="Segoe UI"/>
                <w:sz w:val="20"/>
              </w:rPr>
              <w:t>:</w:t>
            </w:r>
          </w:p>
          <w:p w:rsidR="00F146A1" w:rsidRDefault="00F146A1" w:rsidP="00054416">
            <w:pPr>
              <w:spacing w:after="120"/>
              <w:jc w:val="left"/>
              <w:rPr>
                <w:rFonts w:ascii="Segoe UI" w:hAnsi="Segoe UI" w:cs="Segoe UI"/>
                <w:sz w:val="20"/>
              </w:rPr>
            </w:pPr>
            <w:r>
              <w:rPr>
                <w:rFonts w:ascii="Segoe UI" w:hAnsi="Segoe UI" w:cs="Segoe UI"/>
                <w:sz w:val="20"/>
              </w:rPr>
              <w:t>a) relevantní dokumentací prokazující splnění podmínek indikátoru (prezenční listiny, výpisy z institucionální evidence, výpisy z registračního systému (e-</w:t>
            </w:r>
            <w:proofErr w:type="spellStart"/>
            <w:r>
              <w:rPr>
                <w:rFonts w:ascii="Segoe UI" w:hAnsi="Segoe UI" w:cs="Segoe UI"/>
                <w:sz w:val="20"/>
              </w:rPr>
              <w:t>learning</w:t>
            </w:r>
            <w:proofErr w:type="spellEnd"/>
            <w:r>
              <w:rPr>
                <w:rFonts w:ascii="Segoe UI" w:hAnsi="Segoe UI" w:cs="Segoe UI"/>
                <w:sz w:val="20"/>
              </w:rPr>
              <w:t>), apod.).</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Prokazování hodnot indikátoru v době udržitelnost</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Po dobu udržitelnosti projektu, maximálně po dobu 5 let udržitelnosti.</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Sankce v případě nenaplnění cílové hodnoty</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Uplatňují se 2 sankční mechanismy:</w:t>
            </w:r>
          </w:p>
          <w:p w:rsidR="00F146A1" w:rsidRDefault="00F146A1" w:rsidP="00F146A1">
            <w:pPr>
              <w:pStyle w:val="Odstavecseseznamem"/>
              <w:numPr>
                <w:ilvl w:val="0"/>
                <w:numId w:val="2"/>
              </w:numPr>
              <w:spacing w:after="120"/>
              <w:jc w:val="left"/>
              <w:rPr>
                <w:rFonts w:ascii="Segoe UI" w:hAnsi="Segoe UI" w:cs="Segoe UI"/>
                <w:i/>
                <w:iCs/>
                <w:sz w:val="20"/>
              </w:rPr>
            </w:pPr>
            <w:r>
              <w:rPr>
                <w:rFonts w:ascii="Segoe UI" w:hAnsi="Segoe UI" w:cs="Segoe UI"/>
                <w:i/>
                <w:iCs/>
                <w:sz w:val="20"/>
              </w:rPr>
              <w:t>Vzhledem k období před ukončením fyzické realizace projektu</w:t>
            </w:r>
          </w:p>
          <w:p w:rsidR="00F146A1" w:rsidRDefault="00F146A1" w:rsidP="00054416">
            <w:pPr>
              <w:spacing w:after="120"/>
              <w:jc w:val="left"/>
              <w:rPr>
                <w:rFonts w:ascii="Segoe UI" w:hAnsi="Segoe UI" w:cs="Segoe UI"/>
                <w:sz w:val="20"/>
              </w:rPr>
            </w:pPr>
            <w:r>
              <w:rPr>
                <w:rFonts w:ascii="Segoe UI" w:hAnsi="Segoe UI" w:cs="Segoe UI"/>
                <w:sz w:val="20"/>
              </w:rPr>
              <w:t>•Skut. plnění indikátoru (x) ≥ 70 % cílové hodnoty</w:t>
            </w:r>
            <w:r>
              <w:rPr>
                <w:lang w:eastAsia="en-US"/>
              </w:rPr>
              <w:t xml:space="preserve">: </w:t>
            </w:r>
            <w:r>
              <w:rPr>
                <w:rFonts w:ascii="Segoe UI" w:hAnsi="Segoe UI" w:cs="Segoe UI"/>
                <w:sz w:val="20"/>
              </w:rPr>
              <w:t>bez finanční opravy</w:t>
            </w:r>
          </w:p>
          <w:p w:rsidR="00F146A1" w:rsidRDefault="00F146A1" w:rsidP="00054416">
            <w:pPr>
              <w:spacing w:after="120"/>
              <w:jc w:val="left"/>
              <w:rPr>
                <w:rFonts w:ascii="Segoe UI" w:hAnsi="Segoe UI" w:cs="Segoe UI"/>
                <w:sz w:val="20"/>
              </w:rPr>
            </w:pPr>
            <w:r>
              <w:rPr>
                <w:rFonts w:ascii="Segoe UI" w:hAnsi="Segoe UI" w:cs="Segoe UI"/>
                <w:sz w:val="20"/>
              </w:rPr>
              <w:t xml:space="preserve">•40 % </w:t>
            </w:r>
            <w:proofErr w:type="gramStart"/>
            <w:r>
              <w:rPr>
                <w:rFonts w:ascii="Segoe UI" w:hAnsi="Segoe UI" w:cs="Segoe UI"/>
                <w:sz w:val="20"/>
              </w:rPr>
              <w:t>&lt; (</w:t>
            </w:r>
            <w:proofErr w:type="gramEnd"/>
            <w:r>
              <w:rPr>
                <w:rFonts w:ascii="Segoe UI" w:hAnsi="Segoe UI" w:cs="Segoe UI"/>
                <w:sz w:val="20"/>
              </w:rPr>
              <w:t>x) &lt;70 %</w:t>
            </w:r>
            <w:r>
              <w:rPr>
                <w:lang w:eastAsia="en-US"/>
              </w:rPr>
              <w:t xml:space="preserve">: </w:t>
            </w:r>
            <w:r>
              <w:rPr>
                <w:rFonts w:ascii="Segoe UI" w:hAnsi="Segoe UI" w:cs="Segoe UI"/>
                <w:sz w:val="20"/>
              </w:rPr>
              <w:t>poměrná finanční oprava z částky, ve které byla porušena rozpočtová kázeň ve výši odpovídající poměru nedosažení indikátoru.</w:t>
            </w:r>
          </w:p>
          <w:p w:rsidR="00F146A1" w:rsidRDefault="00F146A1" w:rsidP="00054416">
            <w:pPr>
              <w:spacing w:after="120"/>
              <w:jc w:val="left"/>
              <w:rPr>
                <w:rFonts w:ascii="Segoe UI" w:hAnsi="Segoe UI" w:cs="Segoe UI"/>
                <w:sz w:val="20"/>
              </w:rPr>
            </w:pPr>
            <w:r>
              <w:rPr>
                <w:rFonts w:ascii="Segoe UI" w:hAnsi="Segoe UI" w:cs="Segoe UI"/>
                <w:sz w:val="20"/>
              </w:rPr>
              <w:t>•(x) ≤40 %</w:t>
            </w:r>
            <w:r>
              <w:rPr>
                <w:lang w:eastAsia="en-US"/>
              </w:rPr>
              <w:t xml:space="preserve">: </w:t>
            </w:r>
            <w:r>
              <w:rPr>
                <w:rFonts w:ascii="Segoe UI" w:hAnsi="Segoe UI" w:cs="Segoe UI"/>
                <w:sz w:val="20"/>
              </w:rPr>
              <w:t xml:space="preserve">100 % finanční oprava z částky, ve které byla porušena rozpočtová kázeň. </w:t>
            </w:r>
          </w:p>
          <w:p w:rsidR="00F146A1" w:rsidRDefault="00F146A1" w:rsidP="00F146A1">
            <w:pPr>
              <w:pStyle w:val="Odstavecseseznamem"/>
              <w:numPr>
                <w:ilvl w:val="0"/>
                <w:numId w:val="2"/>
              </w:numPr>
              <w:spacing w:after="120"/>
              <w:jc w:val="left"/>
              <w:rPr>
                <w:rFonts w:ascii="Segoe UI" w:hAnsi="Segoe UI" w:cs="Segoe UI"/>
                <w:i/>
                <w:iCs/>
                <w:sz w:val="20"/>
              </w:rPr>
            </w:pPr>
            <w:r>
              <w:rPr>
                <w:rFonts w:ascii="Segoe UI" w:hAnsi="Segoe UI" w:cs="Segoe UI"/>
                <w:i/>
                <w:iCs/>
                <w:sz w:val="20"/>
              </w:rPr>
              <w:t>Vzhledem k období po ukončení fyzické realizace projektu</w:t>
            </w:r>
          </w:p>
          <w:p w:rsidR="00F146A1" w:rsidRDefault="00F146A1" w:rsidP="00054416">
            <w:pPr>
              <w:spacing w:after="120"/>
              <w:jc w:val="left"/>
              <w:rPr>
                <w:rFonts w:ascii="Segoe UI" w:hAnsi="Segoe UI" w:cs="Segoe UI"/>
                <w:sz w:val="20"/>
              </w:rPr>
            </w:pPr>
            <w:r>
              <w:rPr>
                <w:rFonts w:ascii="Segoe UI" w:hAnsi="Segoe UI" w:cs="Segoe UI"/>
                <w:sz w:val="20"/>
              </w:rPr>
              <w:t xml:space="preserve">V době po ukončení fyzické realizace projektu se míra úspěšnosti plnění indikátoru vztahuje na průměrnou roční výši počtu účastníků od doby, kdy příjemce dotace začal v rámci realizace projektu realizovat aktivity přímo vázané na indikátor až do ukončení fyzické realizace projektu. Výsledná průměrná hodnota se násobí počtem let udržitelnosti, součin se následně stává referenční hodnotou pro celé období po ukončení fyzické realizace projektu a výpočet případné finanční opravy. </w:t>
            </w:r>
          </w:p>
          <w:p w:rsidR="00F146A1" w:rsidRDefault="00F146A1" w:rsidP="00054416">
            <w:pPr>
              <w:spacing w:after="120"/>
              <w:jc w:val="left"/>
              <w:rPr>
                <w:rFonts w:ascii="Segoe UI" w:hAnsi="Segoe UI" w:cs="Segoe UI"/>
                <w:sz w:val="20"/>
              </w:rPr>
            </w:pPr>
            <w:r>
              <w:rPr>
                <w:rFonts w:ascii="Segoe UI" w:hAnsi="Segoe UI" w:cs="Segoe UI"/>
                <w:sz w:val="20"/>
              </w:rPr>
              <w:t>Aby mohl být konkrétní rok zahrnut do výpočtu průměrné roční hodnoty indikátoru, musí být v tomto roce realizováno minimálně 10 % cílové hodnoty indikátoru.</w:t>
            </w:r>
          </w:p>
          <w:p w:rsidR="00F146A1" w:rsidRDefault="00F146A1" w:rsidP="00054416">
            <w:pPr>
              <w:spacing w:after="120"/>
              <w:jc w:val="left"/>
              <w:rPr>
                <w:rFonts w:ascii="Segoe UI" w:hAnsi="Segoe UI" w:cs="Segoe UI"/>
                <w:sz w:val="20"/>
              </w:rPr>
            </w:pPr>
            <w:r>
              <w:rPr>
                <w:rFonts w:ascii="Segoe UI" w:hAnsi="Segoe UI" w:cs="Segoe UI"/>
                <w:sz w:val="20"/>
              </w:rPr>
              <w:t>Příklad:</w:t>
            </w:r>
          </w:p>
          <w:p w:rsidR="00F146A1" w:rsidRDefault="00F146A1" w:rsidP="00054416">
            <w:pPr>
              <w:spacing w:after="120"/>
              <w:jc w:val="left"/>
              <w:rPr>
                <w:rFonts w:ascii="Segoe UI" w:hAnsi="Segoe UI" w:cs="Segoe UI"/>
                <w:sz w:val="20"/>
              </w:rPr>
            </w:pPr>
            <w:r>
              <w:rPr>
                <w:rFonts w:ascii="Segoe UI" w:hAnsi="Segoe UI" w:cs="Segoe UI"/>
                <w:sz w:val="20"/>
              </w:rPr>
              <w:t xml:space="preserve">v 1. roce realizace projektu je plánovaná výše indikátoru 0, v 2. roce 10, v 3. roce 100, v 4. roce 400 a v 5. závěrečném roce 400. Průměrná hodnota indikátoru před ukončením fyzické realizace projektu tak činí (100 + 400 + 400 / 3) 300 účastníků za rok. Doba udržitelnosti projektu je 5 let, hodnota referenčního součinu tak činí (5 x 300) 1500 účastníků. K této hodnotě se váže výpočet úspěšnosti splnění podmínek indikátoru období po ukončení fyzické realizace projektu. </w:t>
            </w:r>
          </w:p>
          <w:p w:rsidR="00F146A1" w:rsidRDefault="00F146A1" w:rsidP="00054416">
            <w:pPr>
              <w:spacing w:after="120"/>
              <w:jc w:val="left"/>
              <w:rPr>
                <w:rFonts w:ascii="Segoe UI" w:hAnsi="Segoe UI" w:cs="Segoe UI"/>
                <w:sz w:val="20"/>
              </w:rPr>
            </w:pPr>
            <w:r>
              <w:rPr>
                <w:rFonts w:ascii="Segoe UI" w:hAnsi="Segoe UI" w:cs="Segoe UI"/>
                <w:sz w:val="20"/>
              </w:rPr>
              <w:t>•Skut. plnění indikátoru (x) ≥ 35 % cílové hodnoty</w:t>
            </w:r>
            <w:r>
              <w:rPr>
                <w:lang w:eastAsia="en-US"/>
              </w:rPr>
              <w:t xml:space="preserve">: </w:t>
            </w:r>
            <w:r>
              <w:rPr>
                <w:rFonts w:ascii="Segoe UI" w:hAnsi="Segoe UI" w:cs="Segoe UI"/>
                <w:sz w:val="20"/>
              </w:rPr>
              <w:t>bez finanční opravy</w:t>
            </w:r>
          </w:p>
          <w:p w:rsidR="00F146A1" w:rsidRDefault="00F146A1" w:rsidP="00054416">
            <w:pPr>
              <w:spacing w:after="120"/>
              <w:jc w:val="left"/>
              <w:rPr>
                <w:rFonts w:ascii="Segoe UI" w:hAnsi="Segoe UI" w:cs="Segoe UI"/>
                <w:sz w:val="20"/>
              </w:rPr>
            </w:pPr>
            <w:r>
              <w:rPr>
                <w:rFonts w:ascii="Segoe UI" w:hAnsi="Segoe UI" w:cs="Segoe UI"/>
                <w:sz w:val="20"/>
              </w:rPr>
              <w:lastRenderedPageBreak/>
              <w:t>•20 % &lt;(x) &lt;35 %</w:t>
            </w:r>
            <w:r>
              <w:rPr>
                <w:lang w:eastAsia="en-US"/>
              </w:rPr>
              <w:t xml:space="preserve">: </w:t>
            </w:r>
            <w:r>
              <w:rPr>
                <w:rFonts w:ascii="Segoe UI" w:hAnsi="Segoe UI" w:cs="Segoe UI"/>
                <w:sz w:val="20"/>
              </w:rPr>
              <w:t>poměrná finanční oprava z částky, ve které byla porušena rozpočtová kázeň ve výši odpovídající poměru nedosažení indikátoru.</w:t>
            </w:r>
          </w:p>
          <w:p w:rsidR="00F146A1" w:rsidRDefault="00F146A1" w:rsidP="00054416">
            <w:pPr>
              <w:spacing w:after="120"/>
              <w:jc w:val="left"/>
              <w:rPr>
                <w:rFonts w:ascii="Segoe UI" w:hAnsi="Segoe UI" w:cs="Segoe UI"/>
                <w:sz w:val="20"/>
              </w:rPr>
            </w:pPr>
            <w:r>
              <w:rPr>
                <w:rFonts w:ascii="Segoe UI" w:hAnsi="Segoe UI" w:cs="Segoe UI"/>
                <w:sz w:val="20"/>
              </w:rPr>
              <w:t>•(x) ≤20 %</w:t>
            </w:r>
            <w:r>
              <w:rPr>
                <w:lang w:eastAsia="en-US"/>
              </w:rPr>
              <w:t xml:space="preserve">: </w:t>
            </w:r>
            <w:r>
              <w:rPr>
                <w:rFonts w:ascii="Segoe UI" w:hAnsi="Segoe UI" w:cs="Segoe UI"/>
                <w:sz w:val="20"/>
              </w:rPr>
              <w:t>100 % finanční oprava z částky, ve které byla porušena rozpočtová kázeň</w:t>
            </w:r>
          </w:p>
        </w:tc>
      </w:tr>
    </w:tbl>
    <w:p w:rsidR="00F146A1" w:rsidRDefault="00F146A1" w:rsidP="00F146A1">
      <w:pPr>
        <w:spacing w:after="120"/>
        <w:jc w:val="left"/>
        <w:rPr>
          <w:rFonts w:ascii="Segoe UI" w:hAnsi="Segoe UI" w:cs="Segoe UI"/>
          <w:sz w:val="20"/>
          <w:szCs w:val="20"/>
        </w:rPr>
      </w:pPr>
    </w:p>
    <w:tbl>
      <w:tblPr>
        <w:tblStyle w:val="Mkatabulky"/>
        <w:tblW w:w="0" w:type="auto"/>
        <w:tblLook w:val="04A0" w:firstRow="1" w:lastRow="0" w:firstColumn="1" w:lastColumn="0" w:noHBand="0" w:noVBand="1"/>
      </w:tblPr>
      <w:tblGrid>
        <w:gridCol w:w="2395"/>
        <w:gridCol w:w="6598"/>
      </w:tblGrid>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Název</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b/>
                <w:bCs/>
                <w:sz w:val="20"/>
              </w:rPr>
            </w:pPr>
            <w:r>
              <w:rPr>
                <w:rFonts w:ascii="Segoe UI" w:hAnsi="Segoe UI" w:cs="Segoe UI"/>
                <w:b/>
                <w:bCs/>
                <w:sz w:val="20"/>
              </w:rPr>
              <w:t>EECR 03 - účastníci, kteří získali kvalifikaci v době ukončení své účasti</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Definice</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iCs/>
                <w:sz w:val="20"/>
              </w:rPr>
            </w:pPr>
            <w:r>
              <w:rPr>
                <w:rFonts w:ascii="Segoe UI" w:hAnsi="Segoe UI" w:cs="Segoe UI"/>
                <w:iCs/>
                <w:sz w:val="20"/>
              </w:rPr>
              <w:t>Účastníci, kteří získali potvrzení o kvalifikaci v rámci účasti na ESF+ projektu. Potvrzení o kvalifikaci je udíleno na základě formálního prověření znalostí, které ukázalo, že účastník získal kvalifikaci dle předem nastavených standardů. V rámci výzev může být specifikováno, jaké druhy kvalifikací a potvrzení kvalifikací jsou přípustné pro naplňování indikátoru v dané výzvě. Účastník je v indikátoru započítán pouze jednou bez ohledu na počet získaných kvalifikací.</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 xml:space="preserve">Měrná jednotka </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účastník</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Způsob kalkulace jednotky, výchozí, cílové a dosažené hodnoty indikátoru</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 1 = jeden účastník aktivity.</w:t>
            </w:r>
          </w:p>
          <w:p w:rsidR="00F146A1" w:rsidRDefault="00F146A1" w:rsidP="00054416">
            <w:pPr>
              <w:spacing w:after="120"/>
              <w:jc w:val="left"/>
              <w:rPr>
                <w:rFonts w:ascii="Segoe UI" w:hAnsi="Segoe UI" w:cs="Segoe UI"/>
                <w:sz w:val="20"/>
              </w:rPr>
            </w:pPr>
            <w:r>
              <w:rPr>
                <w:rFonts w:ascii="Segoe UI" w:hAnsi="Segoe UI" w:cs="Segoe UI"/>
                <w:sz w:val="20"/>
              </w:rPr>
              <w:t>Výchozí hodnota se stanoví jako "0".</w:t>
            </w:r>
          </w:p>
          <w:p w:rsidR="00F146A1" w:rsidRDefault="00F146A1" w:rsidP="00054416">
            <w:pPr>
              <w:spacing w:after="120"/>
              <w:jc w:val="left"/>
              <w:rPr>
                <w:rFonts w:ascii="Segoe UI" w:hAnsi="Segoe UI" w:cs="Segoe UI"/>
                <w:sz w:val="20"/>
              </w:rPr>
            </w:pPr>
            <w:r>
              <w:rPr>
                <w:rFonts w:ascii="Segoe UI" w:hAnsi="Segoe UI" w:cs="Segoe UI"/>
                <w:sz w:val="20"/>
              </w:rPr>
              <w:t xml:space="preserve">Cílová hodnota se stanoví jako plánovaný celkový počet účastníků, kteří získají kvalifikaci za dobu před ukončením fyzické realizace projektu. </w:t>
            </w:r>
          </w:p>
          <w:p w:rsidR="00F146A1" w:rsidRDefault="00F146A1" w:rsidP="00054416">
            <w:pPr>
              <w:spacing w:after="120"/>
              <w:jc w:val="left"/>
              <w:rPr>
                <w:rFonts w:ascii="Segoe UI" w:hAnsi="Segoe UI" w:cs="Segoe UI"/>
                <w:sz w:val="20"/>
              </w:rPr>
            </w:pPr>
            <w:r>
              <w:rPr>
                <w:rFonts w:ascii="Segoe UI" w:hAnsi="Segoe UI" w:cs="Segoe UI"/>
                <w:sz w:val="20"/>
              </w:rPr>
              <w:t>Dosažená hodnota se sleduje jako skutečný počet účastníků, kteří získali kvalifikaci za dobu před ukončením fyzické realizace projektu.</w:t>
            </w:r>
          </w:p>
          <w:p w:rsidR="00F146A1" w:rsidRDefault="00F146A1" w:rsidP="00054416">
            <w:pPr>
              <w:spacing w:after="120"/>
              <w:jc w:val="left"/>
              <w:rPr>
                <w:rFonts w:ascii="Segoe UI" w:hAnsi="Segoe UI" w:cs="Segoe UI"/>
                <w:sz w:val="20"/>
              </w:rPr>
            </w:pPr>
            <w:r>
              <w:rPr>
                <w:rFonts w:ascii="Segoe UI" w:hAnsi="Segoe UI" w:cs="Segoe UI"/>
                <w:sz w:val="20"/>
              </w:rPr>
              <w:t xml:space="preserve">Každý účastník může být započítán maximálně 1x. </w:t>
            </w:r>
          </w:p>
          <w:p w:rsidR="00F146A1" w:rsidRDefault="00F146A1" w:rsidP="00054416">
            <w:pPr>
              <w:spacing w:after="120"/>
              <w:jc w:val="left"/>
              <w:rPr>
                <w:rFonts w:ascii="Segoe UI" w:hAnsi="Segoe UI" w:cs="Segoe UI"/>
                <w:sz w:val="20"/>
              </w:rPr>
            </w:pPr>
            <w:r>
              <w:rPr>
                <w:rFonts w:ascii="Segoe UI" w:hAnsi="Segoe UI" w:cs="Segoe UI"/>
                <w:sz w:val="20"/>
              </w:rPr>
              <w:t>Každý účastník musí být proškolen minimálně v rozsahu 40 hodin (</w:t>
            </w:r>
            <w:proofErr w:type="gramStart"/>
            <w:r>
              <w:rPr>
                <w:rFonts w:ascii="Segoe UI" w:hAnsi="Segoe UI" w:cs="Segoe UI"/>
                <w:sz w:val="20"/>
              </w:rPr>
              <w:t>1h</w:t>
            </w:r>
            <w:proofErr w:type="gramEnd"/>
            <w:r>
              <w:rPr>
                <w:rFonts w:ascii="Segoe UI" w:hAnsi="Segoe UI" w:cs="Segoe UI"/>
                <w:sz w:val="20"/>
              </w:rPr>
              <w:t xml:space="preserve"> = 60 minut, </w:t>
            </w:r>
            <w:r>
              <w:rPr>
                <w:rFonts w:ascii="Segoe UI" w:hAnsi="Segoe UI" w:cs="Segoe UI"/>
                <w:szCs w:val="18"/>
              </w:rPr>
              <w:t xml:space="preserve">45 minut pouze v případě, kdy se dle zákona 563/2004 Sb. o </w:t>
            </w:r>
            <w:proofErr w:type="spellStart"/>
            <w:r>
              <w:rPr>
                <w:rFonts w:ascii="Segoe UI" w:hAnsi="Segoe UI" w:cs="Segoe UI"/>
                <w:szCs w:val="18"/>
              </w:rPr>
              <w:t>ped</w:t>
            </w:r>
            <w:proofErr w:type="spellEnd"/>
            <w:r>
              <w:rPr>
                <w:rFonts w:ascii="Segoe UI" w:hAnsi="Segoe UI" w:cs="Segoe UI"/>
                <w:szCs w:val="18"/>
              </w:rPr>
              <w:t>. pracovnících a vyhlášky 317/2005 Sb. jedná o další vzdělávání pedagogických pracovníků</w:t>
            </w:r>
            <w:r>
              <w:rPr>
                <w:rFonts w:ascii="Segoe UI" w:hAnsi="Segoe UI" w:cs="Segoe UI"/>
                <w:sz w:val="20"/>
              </w:rPr>
              <w:t>), a zároveň se musí účastnit alespoň 80 % rozsahu vybrané aktivity, aby mohl být do indikátoru započítán. Časová alokace vzdělávací aktivity (jednotlivého kurzu nebo skupiny kurzů vytvářející jeden vzdělávací celek) musí být rozvržena tak, že minimálně 75 % je zajištěno prezenční (fyzickou nebo online) formou výuky, zbývající část výuky může probíhat formou e-</w:t>
            </w:r>
            <w:proofErr w:type="spellStart"/>
            <w:r>
              <w:rPr>
                <w:rFonts w:ascii="Segoe UI" w:hAnsi="Segoe UI" w:cs="Segoe UI"/>
                <w:sz w:val="20"/>
              </w:rPr>
              <w:t>learningu</w:t>
            </w:r>
            <w:proofErr w:type="spellEnd"/>
            <w:r>
              <w:rPr>
                <w:rFonts w:ascii="Segoe UI" w:hAnsi="Segoe UI" w:cs="Segoe UI"/>
                <w:sz w:val="20"/>
              </w:rPr>
              <w:t>. V rámci e-</w:t>
            </w:r>
            <w:proofErr w:type="spellStart"/>
            <w:r>
              <w:rPr>
                <w:rFonts w:ascii="Segoe UI" w:hAnsi="Segoe UI" w:cs="Segoe UI"/>
                <w:sz w:val="20"/>
              </w:rPr>
              <w:t>learningu</w:t>
            </w:r>
            <w:proofErr w:type="spellEnd"/>
            <w:r>
              <w:rPr>
                <w:rFonts w:ascii="Segoe UI" w:hAnsi="Segoe UI" w:cs="Segoe UI"/>
                <w:sz w:val="20"/>
              </w:rPr>
              <w:t xml:space="preserve"> má uživatel k dispozici podporu (chat, diskusní fórum, e-mail apod.), a zároveň může využívat zpětnou vazbu ve formě testovacích otázek apod.</w:t>
            </w:r>
          </w:p>
          <w:p w:rsidR="00F146A1" w:rsidRPr="00F146A1" w:rsidRDefault="00F146A1" w:rsidP="00F146A1">
            <w:pPr>
              <w:pStyle w:val="Bezmezer"/>
              <w:spacing w:line="276" w:lineRule="auto"/>
              <w:rPr>
                <w:rFonts w:ascii="Segoe UI" w:hAnsi="Segoe UI" w:cs="Segoe UI"/>
                <w:sz w:val="20"/>
              </w:rPr>
            </w:pPr>
            <w:r w:rsidRPr="00F146A1">
              <w:rPr>
                <w:rFonts w:ascii="Segoe UI" w:hAnsi="Segoe UI" w:cs="Segoe UI"/>
                <w:sz w:val="20"/>
              </w:rPr>
              <w:t>Vstupní data o podpořených osobách vkládá příjemce do</w:t>
            </w:r>
          </w:p>
          <w:p w:rsidR="00F146A1" w:rsidRDefault="00F146A1" w:rsidP="00F146A1">
            <w:pPr>
              <w:spacing w:after="120"/>
              <w:jc w:val="left"/>
              <w:rPr>
                <w:rFonts w:ascii="Segoe UI" w:hAnsi="Segoe UI" w:cs="Segoe UI"/>
                <w:sz w:val="20"/>
              </w:rPr>
            </w:pPr>
            <w:r w:rsidRPr="00F146A1">
              <w:rPr>
                <w:rFonts w:ascii="Segoe UI" w:hAnsi="Segoe UI" w:cs="Segoe UI"/>
                <w:sz w:val="20"/>
              </w:rPr>
              <w:t>monitorovacího systému IS ESF.</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lastRenderedPageBreak/>
              <w:t>Dokládání</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 xml:space="preserve">Příjemce dokládá dosaženou hodnotu průběžně v rámci </w:t>
            </w:r>
            <w:proofErr w:type="spellStart"/>
            <w:r>
              <w:rPr>
                <w:rFonts w:ascii="Segoe UI" w:hAnsi="Segoe UI" w:cs="Segoe UI"/>
                <w:sz w:val="20"/>
              </w:rPr>
              <w:t>ZoR</w:t>
            </w:r>
            <w:proofErr w:type="spellEnd"/>
            <w:r>
              <w:rPr>
                <w:rFonts w:ascii="Segoe UI" w:hAnsi="Segoe UI" w:cs="Segoe UI"/>
                <w:sz w:val="20"/>
              </w:rPr>
              <w:t xml:space="preserve">/ </w:t>
            </w:r>
            <w:proofErr w:type="spellStart"/>
            <w:r>
              <w:rPr>
                <w:rFonts w:ascii="Segoe UI" w:hAnsi="Segoe UI" w:cs="Segoe UI"/>
                <w:sz w:val="20"/>
              </w:rPr>
              <w:t>ZZoR</w:t>
            </w:r>
            <w:proofErr w:type="spellEnd"/>
            <w:r>
              <w:rPr>
                <w:rFonts w:ascii="Segoe UI" w:hAnsi="Segoe UI" w:cs="Segoe UI"/>
                <w:sz w:val="20"/>
              </w:rPr>
              <w:t>:</w:t>
            </w:r>
          </w:p>
          <w:p w:rsidR="00F146A1" w:rsidRDefault="00F146A1" w:rsidP="00054416">
            <w:pPr>
              <w:spacing w:after="120"/>
              <w:jc w:val="left"/>
              <w:rPr>
                <w:rFonts w:ascii="Segoe UI" w:hAnsi="Segoe UI" w:cs="Segoe UI"/>
                <w:sz w:val="20"/>
              </w:rPr>
            </w:pPr>
            <w:r>
              <w:rPr>
                <w:rFonts w:ascii="Segoe UI" w:hAnsi="Segoe UI" w:cs="Segoe UI"/>
                <w:sz w:val="20"/>
              </w:rPr>
              <w:t>a) relevantní dokumentací popisující podmínky získání kvalifikace / úspěšného absolvování kurzu aj.;</w:t>
            </w:r>
          </w:p>
          <w:p w:rsidR="00F146A1" w:rsidRDefault="00F146A1" w:rsidP="00054416">
            <w:pPr>
              <w:spacing w:after="120"/>
              <w:jc w:val="left"/>
              <w:rPr>
                <w:rFonts w:ascii="Segoe UI" w:hAnsi="Segoe UI" w:cs="Segoe UI"/>
                <w:sz w:val="20"/>
              </w:rPr>
            </w:pPr>
            <w:r>
              <w:rPr>
                <w:rFonts w:ascii="Segoe UI" w:hAnsi="Segoe UI" w:cs="Segoe UI"/>
                <w:sz w:val="20"/>
              </w:rPr>
              <w:t>b) relevantní dokumentací prokazující úspěšné absolvování kurzu účastníkem dle podmínek získání kvalifikace (např. certifikát nebo osvědčení).</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Prokazování hodnot indikátoru v době udržitelnost</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Nerelevantní.</w:t>
            </w:r>
          </w:p>
        </w:tc>
      </w:tr>
      <w:tr w:rsidR="00F146A1" w:rsidTr="00054416">
        <w:tc>
          <w:tcPr>
            <w:tcW w:w="2395" w:type="dxa"/>
            <w:tcBorders>
              <w:top w:val="single" w:sz="8" w:space="0" w:color="auto"/>
              <w:bottom w:val="single" w:sz="8" w:space="0" w:color="auto"/>
            </w:tcBorders>
            <w:shd w:val="clear" w:color="auto" w:fill="3E1F65"/>
          </w:tcPr>
          <w:p w:rsidR="00F146A1" w:rsidRDefault="00F146A1" w:rsidP="00054416">
            <w:pPr>
              <w:spacing w:after="120"/>
              <w:jc w:val="left"/>
              <w:rPr>
                <w:rFonts w:ascii="Segoe UI" w:hAnsi="Segoe UI" w:cs="Segoe UI"/>
                <w:sz w:val="20"/>
              </w:rPr>
            </w:pPr>
            <w:r>
              <w:rPr>
                <w:rFonts w:ascii="Segoe UI" w:hAnsi="Segoe UI" w:cs="Segoe UI"/>
                <w:sz w:val="20"/>
              </w:rPr>
              <w:t>Sankce v případě nenaplnění cílové hodnoty</w:t>
            </w:r>
          </w:p>
        </w:tc>
        <w:tc>
          <w:tcPr>
            <w:tcW w:w="6598" w:type="dxa"/>
            <w:tcBorders>
              <w:top w:val="single" w:sz="8" w:space="0" w:color="auto"/>
              <w:bottom w:val="single" w:sz="8" w:space="0" w:color="auto"/>
            </w:tcBorders>
          </w:tcPr>
          <w:p w:rsidR="00F146A1" w:rsidRDefault="00F146A1" w:rsidP="00054416">
            <w:pPr>
              <w:spacing w:after="120"/>
              <w:jc w:val="left"/>
              <w:rPr>
                <w:rFonts w:ascii="Segoe UI" w:hAnsi="Segoe UI" w:cs="Segoe UI"/>
                <w:sz w:val="20"/>
              </w:rPr>
            </w:pPr>
            <w:r>
              <w:rPr>
                <w:rFonts w:ascii="Segoe UI" w:hAnsi="Segoe UI" w:cs="Segoe UI"/>
                <w:sz w:val="20"/>
              </w:rPr>
              <w:t>•Skut. plnění indikátoru (x) ≥ 60 % cílové hodnoty</w:t>
            </w:r>
            <w:r>
              <w:rPr>
                <w:lang w:eastAsia="en-US"/>
              </w:rPr>
              <w:t xml:space="preserve">: </w:t>
            </w:r>
            <w:r>
              <w:rPr>
                <w:rFonts w:ascii="Segoe UI" w:hAnsi="Segoe UI" w:cs="Segoe UI"/>
                <w:sz w:val="20"/>
              </w:rPr>
              <w:t>bez finanční opravy</w:t>
            </w:r>
          </w:p>
          <w:p w:rsidR="00F146A1" w:rsidRDefault="00F146A1" w:rsidP="00054416">
            <w:pPr>
              <w:spacing w:after="120"/>
              <w:jc w:val="left"/>
              <w:rPr>
                <w:rFonts w:ascii="Segoe UI" w:hAnsi="Segoe UI" w:cs="Segoe UI"/>
                <w:sz w:val="20"/>
              </w:rPr>
            </w:pPr>
            <w:r>
              <w:rPr>
                <w:rFonts w:ascii="Segoe UI" w:hAnsi="Segoe UI" w:cs="Segoe UI"/>
                <w:sz w:val="20"/>
              </w:rPr>
              <w:t xml:space="preserve">•30 % </w:t>
            </w:r>
            <w:proofErr w:type="gramStart"/>
            <w:r>
              <w:rPr>
                <w:rFonts w:ascii="Segoe UI" w:hAnsi="Segoe UI" w:cs="Segoe UI"/>
                <w:sz w:val="20"/>
              </w:rPr>
              <w:t>&lt; (</w:t>
            </w:r>
            <w:proofErr w:type="gramEnd"/>
            <w:r>
              <w:rPr>
                <w:rFonts w:ascii="Segoe UI" w:hAnsi="Segoe UI" w:cs="Segoe UI"/>
                <w:sz w:val="20"/>
              </w:rPr>
              <w:t>x) &lt;60 %</w:t>
            </w:r>
            <w:r>
              <w:rPr>
                <w:lang w:eastAsia="en-US"/>
              </w:rPr>
              <w:t xml:space="preserve">: </w:t>
            </w:r>
            <w:r>
              <w:rPr>
                <w:rFonts w:ascii="Segoe UI" w:hAnsi="Segoe UI" w:cs="Segoe UI"/>
                <w:sz w:val="20"/>
              </w:rPr>
              <w:t>poměrná finanční oprava z částky, ve které byla porušena rozpočtová kázeň ve výši odpovídající poměru nedosažení indikátoru.</w:t>
            </w:r>
          </w:p>
          <w:p w:rsidR="00F146A1" w:rsidRDefault="00F146A1" w:rsidP="00054416">
            <w:pPr>
              <w:spacing w:after="120"/>
              <w:jc w:val="left"/>
              <w:rPr>
                <w:rFonts w:ascii="Segoe UI" w:hAnsi="Segoe UI" w:cs="Segoe UI"/>
                <w:sz w:val="20"/>
              </w:rPr>
            </w:pPr>
            <w:r>
              <w:rPr>
                <w:rFonts w:ascii="Segoe UI" w:hAnsi="Segoe UI" w:cs="Segoe UI"/>
                <w:sz w:val="20"/>
              </w:rPr>
              <w:t>•(x) ≤30 %</w:t>
            </w:r>
            <w:r>
              <w:rPr>
                <w:lang w:eastAsia="en-US"/>
              </w:rPr>
              <w:t xml:space="preserve">: </w:t>
            </w:r>
            <w:r>
              <w:rPr>
                <w:rFonts w:ascii="Segoe UI" w:hAnsi="Segoe UI" w:cs="Segoe UI"/>
                <w:sz w:val="20"/>
              </w:rPr>
              <w:t>100 % finanční oprava z částky, ve které byla porušena rozpočtová kázeň.</w:t>
            </w:r>
          </w:p>
        </w:tc>
      </w:tr>
    </w:tbl>
    <w:p w:rsidR="00F146A1" w:rsidRDefault="00F146A1" w:rsidP="00F146A1">
      <w:pPr>
        <w:spacing w:after="120"/>
        <w:jc w:val="left"/>
        <w:rPr>
          <w:rFonts w:ascii="Segoe UI" w:hAnsi="Segoe UI" w:cs="Segoe UI"/>
          <w:sz w:val="20"/>
          <w:szCs w:val="20"/>
        </w:rPr>
      </w:pPr>
    </w:p>
    <w:p w:rsidR="00963E87" w:rsidRDefault="00963E87"/>
    <w:sectPr w:rsidR="00963E87">
      <w:headerReference w:type="default" r:id="rId7"/>
      <w:footerReference w:type="default" r:id="rId8"/>
      <w:headerReference w:type="first" r:id="rId9"/>
      <w:footerReference w:type="first" r:id="rId10"/>
      <w:pgSz w:w="11906" w:h="16838"/>
      <w:pgMar w:top="1701" w:right="1418" w:bottom="1701" w:left="1418" w:header="567" w:footer="46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74" w:rsidRDefault="00563574">
      <w:pPr>
        <w:spacing w:line="240" w:lineRule="auto"/>
      </w:pPr>
      <w:r>
        <w:separator/>
      </w:r>
    </w:p>
  </w:endnote>
  <w:endnote w:type="continuationSeparator" w:id="0">
    <w:p w:rsidR="00563574" w:rsidRDefault="00563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hnSans Text Pro">
    <w:altName w:val="Calibri"/>
    <w:panose1 w:val="00000000000000000000"/>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FD" w:rsidRDefault="00F146A1">
    <w:pPr>
      <w:pStyle w:val="Zpat"/>
      <w:rPr>
        <w:szCs w:val="16"/>
      </w:rPr>
    </w:pPr>
    <w:r>
      <w:rPr>
        <w:noProof/>
        <w:szCs w:val="16"/>
      </w:rPr>
      <mc:AlternateContent>
        <mc:Choice Requires="wps">
          <w:drawing>
            <wp:anchor distT="0" distB="0" distL="114300" distR="114300" simplePos="0" relativeHeight="251659264" behindDoc="0" locked="0" layoutInCell="1" allowOverlap="1" wp14:anchorId="28988516" wp14:editId="7E3676E7">
              <wp:simplePos x="0" y="0"/>
              <wp:positionH relativeFrom="column">
                <wp:posOffset>5727700</wp:posOffset>
              </wp:positionH>
              <wp:positionV relativeFrom="page">
                <wp:posOffset>10045065</wp:posOffset>
              </wp:positionV>
              <wp:extent cx="925195" cy="2247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24790"/>
                      </a:xfrm>
                      <a:prstGeom prst="rect">
                        <a:avLst/>
                      </a:prstGeom>
                      <a:noFill/>
                      <a:ln>
                        <a:noFill/>
                      </a:ln>
                    </wps:spPr>
                    <wps:txbx>
                      <w:txbxContent>
                        <w:p w:rsidR="009653FD" w:rsidRDefault="00F146A1">
                          <w:pPr>
                            <w:jc w:val="cente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88516" id="_x0000_t202" coordsize="21600,21600" o:spt="202" path="m,l,21600r21600,l21600,xe">
              <v:stroke joinstyle="miter"/>
              <v:path gradientshapeok="t" o:connecttype="rect"/>
            </v:shapetype>
            <v:shape id="Text Box 10" o:spid="_x0000_s1026" type="#_x0000_t202" style="position:absolute;left:0;text-align:left;margin-left:451pt;margin-top:790.95pt;width:72.8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u6QEAALYDAAAOAAAAZHJzL2Uyb0RvYy54bWysU1Fv0zAQfkfiP1h+p2kDAxo1ncamIqQx&#10;kLb9gIvjNBaJz5zdJuXXc3abbrA3xIt1Pp8/f99359Xl2Hdir8kbtKVczOZSaKuwNnZbyseHzZuP&#10;UvgAtoYOrS7lQXt5uX79ajW4QufYYldrEgxifTG4UrYhuCLLvGp1D36GTls+bJB6CLylbVYTDIze&#10;d1k+n7/PBqTaESrtPWdvjodynfCbRqvwrWm8DqIrJXMLaaW0VnHN1isotgSuNepEA/6BRQ/G8qNn&#10;qBsIIHZkXkD1RhF6bMJMYZ9h0xilkwZWs5j/pea+BaeTFjbHu7NN/v/Bqrv9dxKmLuVbKSz03KIH&#10;PQbxCUexSPYMzhdcde+4Loyc5zYnqd7dovrhhcXrFuxWXxHh0Gqomd4iGps9uxob4gsfQarhK9b8&#10;DuwCJqCxoT56x24IRuc2Hc6tiVwUJ5f5xWJ5IYXiozx/92GZuGVQTJcd+fBZYy9iUErizidw2N/6&#10;EMlAMZXEtyxuTNel7nf2jwQXxkwiH/kemYexGrk6iqiwPrAMwuMw8fBz0CL9kmLgQSql/7kD0lJ0&#10;XyxbEaduCmgKqikAq/hqKYMUx/A6HKdz58hsW0aezL5iuzYmSXliceLJw5EUngY5Tt/zfap6+m7r&#10;3wAAAP//AwBQSwMEFAAGAAgAAAAhAO7fILXhAAAADgEAAA8AAABkcnMvZG93bnJldi54bWxMj8FO&#10;wzAQRO9I/IO1SFwQtR0gaUKcCiG4cGvh0psbb5OIeB3FbhL69bgnuO1oRrNvys1iezbh6DtHCuRK&#10;AEOqnemoUfD1+X6/BuaDJqN7R6jgBz1squurUhfGzbTFaRcaFkvIF1pBG8JQcO7rFq32KzcgRe/o&#10;RqtDlGPDzajnWG57ngiRcqs7ih9aPeBri/X37mQVpMvbcPeRYzKf636i/VnKgFKp25vl5RlYwCX8&#10;heGCH9GhikwHdyLjWa8gF0ncEqLxtJY5sEtEPGYZsEO8Upk9AK9K/n9G9QsAAP//AwBQSwECLQAU&#10;AAYACAAAACEAtoM4kv4AAADhAQAAEwAAAAAAAAAAAAAAAAAAAAAAW0NvbnRlbnRfVHlwZXNdLnht&#10;bFBLAQItABQABgAIAAAAIQA4/SH/1gAAAJQBAAALAAAAAAAAAAAAAAAAAC8BAABfcmVscy8ucmVs&#10;c1BLAQItABQABgAIAAAAIQDNO+1u6QEAALYDAAAOAAAAAAAAAAAAAAAAAC4CAABkcnMvZTJvRG9j&#10;LnhtbFBLAQItABQABgAIAAAAIQDu3yC14QAAAA4BAAAPAAAAAAAAAAAAAAAAAEMEAABkcnMvZG93&#10;bnJldi54bWxQSwUGAAAAAAQABADzAAAAUQUAAAAA&#10;" filled="f" stroked="f">
              <v:textbox style="mso-fit-shape-to-text:t" inset="0,0,0,0">
                <w:txbxContent>
                  <w:p w:rsidR="009653FD" w:rsidRDefault="00F146A1">
                    <w:pPr>
                      <w:jc w:val="cente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sz w:val="16"/>
                      </w:rPr>
                      <w:t>4</w:t>
                    </w:r>
                    <w:r>
                      <w:rPr>
                        <w:rStyle w:val="slostrnky"/>
                        <w:sz w:val="16"/>
                      </w:rPr>
                      <w:fldChar w:fldCharType="end"/>
                    </w:r>
                  </w:p>
                </w:txbxContent>
              </v:textbox>
              <w10:wrap anchory="page"/>
            </v:shape>
          </w:pict>
        </mc:Fallback>
      </mc:AlternateContent>
    </w:r>
  </w:p>
  <w:p w:rsidR="009653FD" w:rsidRDefault="00F146A1">
    <w:pPr>
      <w:pStyle w:val="Zpat"/>
      <w:spacing w:before="240"/>
      <w:rPr>
        <w:szCs w:val="16"/>
      </w:rPr>
    </w:pPr>
    <w:r>
      <w:rPr>
        <w:b/>
        <w:szCs w:val="16"/>
      </w:rPr>
      <w:t>Státní fond životního prostředí ČR</w:t>
    </w:r>
    <w:r>
      <w:rPr>
        <w:szCs w:val="16"/>
      </w:rPr>
      <w:t>, sídlo: Kaplanova 1931/1, 148 00 Praha 11</w:t>
    </w:r>
  </w:p>
  <w:p w:rsidR="009653FD" w:rsidRDefault="00F146A1">
    <w:pPr>
      <w:pStyle w:val="Zpat"/>
      <w:rPr>
        <w:szCs w:val="16"/>
      </w:rPr>
    </w:pPr>
    <w:r>
      <w:rPr>
        <w:szCs w:val="16"/>
      </w:rPr>
      <w:t>korespondenční a kontaktní adresa: Olbrachtova 2006/9, 140 00 Praha 4, T: +420 267 994 300; IČ: 00020729</w:t>
    </w:r>
  </w:p>
  <w:p w:rsidR="009653FD" w:rsidRDefault="00F146A1">
    <w:pPr>
      <w:pStyle w:val="Zpat"/>
      <w:rPr>
        <w:szCs w:val="16"/>
      </w:rPr>
    </w:pPr>
    <w:r>
      <w:rPr>
        <w:b/>
        <w:szCs w:val="16"/>
      </w:rPr>
      <w:t>www.opst.cz, e-mail: spravedliva.transformace@sfzp.cz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FD" w:rsidRDefault="00F146A1">
    <w:pPr>
      <w:pStyle w:val="Zpat"/>
      <w:rPr>
        <w:color w:val="3E1F65"/>
        <w:sz w:val="28"/>
        <w:szCs w:val="28"/>
      </w:rPr>
    </w:pPr>
    <w:r>
      <w:rPr>
        <w:color w:val="3E1F65"/>
        <w:sz w:val="28"/>
        <w:szCs w:val="28"/>
      </w:rPr>
      <w:t xml:space="preserve">www.opst.cz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74" w:rsidRDefault="00563574">
      <w:pPr>
        <w:spacing w:line="240" w:lineRule="auto"/>
      </w:pPr>
      <w:r>
        <w:separator/>
      </w:r>
    </w:p>
  </w:footnote>
  <w:footnote w:type="continuationSeparator" w:id="0">
    <w:p w:rsidR="00563574" w:rsidRDefault="00563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FD" w:rsidRDefault="00F146A1">
    <w:pPr>
      <w:pStyle w:val="Zhlav"/>
    </w:pPr>
    <w:r>
      <w:rPr>
        <w:noProof/>
      </w:rPr>
      <w:drawing>
        <wp:inline distT="0" distB="0" distL="0" distR="0" wp14:anchorId="53984D92" wp14:editId="14E4CCFB">
          <wp:extent cx="5719445" cy="415856"/>
          <wp:effectExtent l="0" t="0" r="0" b="3810"/>
          <wp:docPr id="1"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stretch/>
                </pic:blipFill>
                <pic:spPr bwMode="auto">
                  <a:xfrm>
                    <a:off x="0" y="0"/>
                    <a:ext cx="5719445" cy="4158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FD" w:rsidRDefault="00F146A1">
    <w:pPr>
      <w:pStyle w:val="Zhlav"/>
    </w:pPr>
    <w:r>
      <w:rPr>
        <w:noProof/>
      </w:rPr>
      <w:drawing>
        <wp:inline distT="0" distB="0" distL="0" distR="0" wp14:anchorId="0A7C7AED" wp14:editId="64848513">
          <wp:extent cx="5719445" cy="415856"/>
          <wp:effectExtent l="0" t="0" r="0" b="3810"/>
          <wp:docPr id="2"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stretch/>
                </pic:blipFill>
                <pic:spPr bwMode="auto">
                  <a:xfrm>
                    <a:off x="0" y="0"/>
                    <a:ext cx="5719445" cy="415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65B3"/>
    <w:multiLevelType w:val="hybridMultilevel"/>
    <w:tmpl w:val="92E621EE"/>
    <w:lvl w:ilvl="0" w:tplc="320662F0">
      <w:start w:val="1"/>
      <w:numFmt w:val="lowerLetter"/>
      <w:lvlText w:val="%1)"/>
      <w:lvlJc w:val="left"/>
      <w:pPr>
        <w:ind w:left="720" w:hanging="360"/>
      </w:pPr>
      <w:rPr>
        <w:rFonts w:hint="default"/>
      </w:rPr>
    </w:lvl>
    <w:lvl w:ilvl="1" w:tplc="FF807C66">
      <w:start w:val="1"/>
      <w:numFmt w:val="lowerLetter"/>
      <w:lvlText w:val="%2."/>
      <w:lvlJc w:val="left"/>
      <w:pPr>
        <w:ind w:left="1440" w:hanging="360"/>
      </w:pPr>
    </w:lvl>
    <w:lvl w:ilvl="2" w:tplc="C0C86D74">
      <w:start w:val="1"/>
      <w:numFmt w:val="lowerRoman"/>
      <w:lvlText w:val="%3."/>
      <w:lvlJc w:val="right"/>
      <w:pPr>
        <w:ind w:left="2160" w:hanging="180"/>
      </w:pPr>
    </w:lvl>
    <w:lvl w:ilvl="3" w:tplc="59F8F6D4">
      <w:start w:val="1"/>
      <w:numFmt w:val="decimal"/>
      <w:lvlText w:val="%4."/>
      <w:lvlJc w:val="left"/>
      <w:pPr>
        <w:ind w:left="2880" w:hanging="360"/>
      </w:pPr>
    </w:lvl>
    <w:lvl w:ilvl="4" w:tplc="BAC010A4">
      <w:start w:val="1"/>
      <w:numFmt w:val="lowerLetter"/>
      <w:lvlText w:val="%5."/>
      <w:lvlJc w:val="left"/>
      <w:pPr>
        <w:ind w:left="3600" w:hanging="360"/>
      </w:pPr>
    </w:lvl>
    <w:lvl w:ilvl="5" w:tplc="B8F053B2">
      <w:start w:val="1"/>
      <w:numFmt w:val="lowerRoman"/>
      <w:lvlText w:val="%6."/>
      <w:lvlJc w:val="right"/>
      <w:pPr>
        <w:ind w:left="4320" w:hanging="180"/>
      </w:pPr>
    </w:lvl>
    <w:lvl w:ilvl="6" w:tplc="4496AD84">
      <w:start w:val="1"/>
      <w:numFmt w:val="decimal"/>
      <w:lvlText w:val="%7."/>
      <w:lvlJc w:val="left"/>
      <w:pPr>
        <w:ind w:left="5040" w:hanging="360"/>
      </w:pPr>
    </w:lvl>
    <w:lvl w:ilvl="7" w:tplc="3CFCE2C4">
      <w:start w:val="1"/>
      <w:numFmt w:val="lowerLetter"/>
      <w:lvlText w:val="%8."/>
      <w:lvlJc w:val="left"/>
      <w:pPr>
        <w:ind w:left="5760" w:hanging="360"/>
      </w:pPr>
    </w:lvl>
    <w:lvl w:ilvl="8" w:tplc="FDB230A2">
      <w:start w:val="1"/>
      <w:numFmt w:val="lowerRoman"/>
      <w:lvlText w:val="%9."/>
      <w:lvlJc w:val="right"/>
      <w:pPr>
        <w:ind w:left="6480" w:hanging="180"/>
      </w:pPr>
    </w:lvl>
  </w:abstractNum>
  <w:abstractNum w:abstractNumId="1" w15:restartNumberingAfterBreak="0">
    <w:nsid w:val="5F5B01C9"/>
    <w:multiLevelType w:val="hybridMultilevel"/>
    <w:tmpl w:val="32D8FE0C"/>
    <w:lvl w:ilvl="0" w:tplc="D91EDF46">
      <w:start w:val="1"/>
      <w:numFmt w:val="lowerLetter"/>
      <w:lvlText w:val="%1)"/>
      <w:lvlJc w:val="left"/>
      <w:pPr>
        <w:ind w:left="360" w:hanging="360"/>
      </w:pPr>
      <w:rPr>
        <w:rFonts w:hint="default"/>
      </w:rPr>
    </w:lvl>
    <w:lvl w:ilvl="1" w:tplc="1990EAA6">
      <w:start w:val="1"/>
      <w:numFmt w:val="lowerLetter"/>
      <w:lvlText w:val="%2."/>
      <w:lvlJc w:val="left"/>
      <w:pPr>
        <w:ind w:left="1080" w:hanging="360"/>
      </w:pPr>
    </w:lvl>
    <w:lvl w:ilvl="2" w:tplc="7026CA5C">
      <w:start w:val="1"/>
      <w:numFmt w:val="lowerRoman"/>
      <w:lvlText w:val="%3."/>
      <w:lvlJc w:val="right"/>
      <w:pPr>
        <w:ind w:left="1800" w:hanging="180"/>
      </w:pPr>
    </w:lvl>
    <w:lvl w:ilvl="3" w:tplc="D0C22F7A">
      <w:start w:val="1"/>
      <w:numFmt w:val="decimal"/>
      <w:lvlText w:val="%4."/>
      <w:lvlJc w:val="left"/>
      <w:pPr>
        <w:ind w:left="2520" w:hanging="360"/>
      </w:pPr>
    </w:lvl>
    <w:lvl w:ilvl="4" w:tplc="E2DCD0F2">
      <w:start w:val="1"/>
      <w:numFmt w:val="lowerLetter"/>
      <w:lvlText w:val="%5."/>
      <w:lvlJc w:val="left"/>
      <w:pPr>
        <w:ind w:left="3240" w:hanging="360"/>
      </w:pPr>
    </w:lvl>
    <w:lvl w:ilvl="5" w:tplc="87402538">
      <w:start w:val="1"/>
      <w:numFmt w:val="lowerRoman"/>
      <w:lvlText w:val="%6."/>
      <w:lvlJc w:val="right"/>
      <w:pPr>
        <w:ind w:left="3960" w:hanging="180"/>
      </w:pPr>
    </w:lvl>
    <w:lvl w:ilvl="6" w:tplc="3F84074E">
      <w:start w:val="1"/>
      <w:numFmt w:val="decimal"/>
      <w:lvlText w:val="%7."/>
      <w:lvlJc w:val="left"/>
      <w:pPr>
        <w:ind w:left="4680" w:hanging="360"/>
      </w:pPr>
    </w:lvl>
    <w:lvl w:ilvl="7" w:tplc="84202352">
      <w:start w:val="1"/>
      <w:numFmt w:val="lowerLetter"/>
      <w:lvlText w:val="%8."/>
      <w:lvlJc w:val="left"/>
      <w:pPr>
        <w:ind w:left="5400" w:hanging="360"/>
      </w:pPr>
    </w:lvl>
    <w:lvl w:ilvl="8" w:tplc="8418F044">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A1"/>
    <w:rsid w:val="00563574"/>
    <w:rsid w:val="00780A72"/>
    <w:rsid w:val="00963E87"/>
    <w:rsid w:val="00F146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A37"/>
  <w15:chartTrackingRefBased/>
  <w15:docId w15:val="{D125BB05-DED7-4F4C-884F-F11559CC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6A1"/>
    <w:pPr>
      <w:spacing w:after="0" w:line="276" w:lineRule="auto"/>
      <w:jc w:val="both"/>
    </w:pPr>
    <w:rPr>
      <w:rFonts w:eastAsiaTheme="minorEastAsia"/>
      <w:lang w:eastAsia="zh-CN"/>
    </w:rPr>
  </w:style>
  <w:style w:type="paragraph" w:styleId="Nadpis2">
    <w:name w:val="heading 2"/>
    <w:basedOn w:val="Normln"/>
    <w:next w:val="Normln"/>
    <w:link w:val="Nadpis2Char"/>
    <w:uiPriority w:val="9"/>
    <w:qFormat/>
    <w:rsid w:val="00F146A1"/>
    <w:pPr>
      <w:spacing w:before="240" w:after="60"/>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46A1"/>
    <w:rPr>
      <w:rFonts w:eastAsiaTheme="minorEastAsia"/>
      <w:b/>
      <w:sz w:val="24"/>
      <w:lang w:eastAsia="zh-CN"/>
    </w:rPr>
  </w:style>
  <w:style w:type="character" w:customStyle="1" w:styleId="ZhlavChar">
    <w:name w:val="Záhlaví Char"/>
    <w:basedOn w:val="Standardnpsmoodstavce"/>
    <w:link w:val="Zhlav"/>
    <w:uiPriority w:val="99"/>
    <w:rsid w:val="00F146A1"/>
  </w:style>
  <w:style w:type="paragraph" w:styleId="Zhlav">
    <w:name w:val="header"/>
    <w:basedOn w:val="Normln"/>
    <w:link w:val="ZhlavChar"/>
    <w:uiPriority w:val="99"/>
    <w:rsid w:val="00F146A1"/>
    <w:pPr>
      <w:tabs>
        <w:tab w:val="center" w:pos="4536"/>
        <w:tab w:val="right" w:pos="9072"/>
      </w:tabs>
    </w:pPr>
    <w:rPr>
      <w:rFonts w:eastAsiaTheme="minorHAnsi"/>
      <w:lang w:eastAsia="en-US"/>
    </w:rPr>
  </w:style>
  <w:style w:type="character" w:customStyle="1" w:styleId="ZhlavChar1">
    <w:name w:val="Záhlaví Char1"/>
    <w:basedOn w:val="Standardnpsmoodstavce"/>
    <w:uiPriority w:val="99"/>
    <w:semiHidden/>
    <w:rsid w:val="00F146A1"/>
    <w:rPr>
      <w:rFonts w:eastAsiaTheme="minorEastAsia"/>
      <w:lang w:eastAsia="zh-CN"/>
    </w:rPr>
  </w:style>
  <w:style w:type="paragraph" w:styleId="Zpat">
    <w:name w:val="footer"/>
    <w:basedOn w:val="Normln"/>
    <w:link w:val="ZpatChar"/>
    <w:uiPriority w:val="99"/>
    <w:rsid w:val="00F146A1"/>
    <w:pPr>
      <w:tabs>
        <w:tab w:val="center" w:pos="4536"/>
        <w:tab w:val="right" w:pos="9072"/>
      </w:tabs>
    </w:pPr>
    <w:rPr>
      <w:sz w:val="16"/>
    </w:rPr>
  </w:style>
  <w:style w:type="character" w:customStyle="1" w:styleId="ZpatChar">
    <w:name w:val="Zápatí Char"/>
    <w:basedOn w:val="Standardnpsmoodstavce"/>
    <w:link w:val="Zpat"/>
    <w:uiPriority w:val="99"/>
    <w:rsid w:val="00F146A1"/>
    <w:rPr>
      <w:rFonts w:eastAsiaTheme="minorEastAsia"/>
      <w:sz w:val="16"/>
      <w:lang w:eastAsia="zh-CN"/>
    </w:rPr>
  </w:style>
  <w:style w:type="table" w:styleId="Mkatabulky">
    <w:name w:val="Table Grid"/>
    <w:basedOn w:val="Normlntabulka"/>
    <w:rsid w:val="00F146A1"/>
    <w:pPr>
      <w:spacing w:after="0" w:line="360" w:lineRule="auto"/>
    </w:pPr>
    <w:rPr>
      <w:rFonts w:ascii="JohnSans Text Pro" w:eastAsia="Times New Roman" w:hAnsi="JohnSans Text Pro" w:cs="Times New Roman"/>
      <w:sz w:val="18"/>
      <w:szCs w:val="20"/>
      <w:lang w:eastAsia="cs-CZ"/>
    </w:rPr>
    <w:tblPr>
      <w:tblStyleRowBandSize w:val="1"/>
      <w:tblInd w:w="57"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28" w:type="dxa"/>
        <w:left w:w="57" w:type="dxa"/>
        <w:bottom w:w="28" w:type="dxa"/>
        <w:right w:w="57" w:type="dxa"/>
      </w:tblCellMar>
    </w:tblPr>
  </w:style>
  <w:style w:type="character" w:styleId="slostrnky">
    <w:name w:val="page number"/>
    <w:basedOn w:val="Standardnpsmoodstavce"/>
    <w:rsid w:val="00F146A1"/>
  </w:style>
  <w:style w:type="paragraph" w:styleId="Odstavecseseznamem">
    <w:name w:val="List Paragraph"/>
    <w:basedOn w:val="Normln"/>
    <w:link w:val="OdstavecseseznamemChar"/>
    <w:uiPriority w:val="34"/>
    <w:qFormat/>
    <w:rsid w:val="00F146A1"/>
    <w:pPr>
      <w:ind w:left="708"/>
    </w:pPr>
  </w:style>
  <w:style w:type="paragraph" w:customStyle="1" w:styleId="Mezititulek">
    <w:name w:val="Mezititulek"/>
    <w:basedOn w:val="Normln"/>
    <w:link w:val="MezititulekChar"/>
    <w:qFormat/>
    <w:rsid w:val="00F146A1"/>
    <w:pPr>
      <w:keepNext/>
      <w:spacing w:before="240"/>
    </w:pPr>
    <w:rPr>
      <w:rFonts w:eastAsia="Calibri" w:cs="Segoe UI"/>
      <w:b/>
      <w:lang w:eastAsia="en-US"/>
    </w:rPr>
  </w:style>
  <w:style w:type="character" w:customStyle="1" w:styleId="MezititulekChar">
    <w:name w:val="Mezititulek Char"/>
    <w:link w:val="Mezititulek"/>
    <w:rsid w:val="00F146A1"/>
    <w:rPr>
      <w:rFonts w:eastAsia="Calibri" w:cs="Segoe UI"/>
      <w:b/>
    </w:rPr>
  </w:style>
  <w:style w:type="character" w:customStyle="1" w:styleId="OdstavecseseznamemChar">
    <w:name w:val="Odstavec se seznamem Char"/>
    <w:link w:val="Odstavecseseznamem"/>
    <w:uiPriority w:val="34"/>
    <w:qFormat/>
    <w:rsid w:val="00F146A1"/>
    <w:rPr>
      <w:rFonts w:eastAsiaTheme="minorEastAsia"/>
      <w:lang w:eastAsia="zh-CN"/>
    </w:rPr>
  </w:style>
  <w:style w:type="character" w:styleId="Odkaznakoment">
    <w:name w:val="annotation reference"/>
    <w:basedOn w:val="Standardnpsmoodstavce"/>
    <w:rsid w:val="00F146A1"/>
    <w:rPr>
      <w:sz w:val="16"/>
      <w:szCs w:val="16"/>
    </w:rPr>
  </w:style>
  <w:style w:type="paragraph" w:styleId="Textkomente">
    <w:name w:val="annotation text"/>
    <w:basedOn w:val="Normln"/>
    <w:link w:val="TextkomenteChar"/>
    <w:rsid w:val="00F146A1"/>
    <w:pPr>
      <w:spacing w:line="240" w:lineRule="auto"/>
    </w:pPr>
    <w:rPr>
      <w:sz w:val="20"/>
      <w:szCs w:val="20"/>
    </w:rPr>
  </w:style>
  <w:style w:type="character" w:customStyle="1" w:styleId="TextkomenteChar">
    <w:name w:val="Text komentáře Char"/>
    <w:basedOn w:val="Standardnpsmoodstavce"/>
    <w:link w:val="Textkomente"/>
    <w:rsid w:val="00F146A1"/>
    <w:rPr>
      <w:rFonts w:eastAsiaTheme="minorEastAsia"/>
      <w:sz w:val="20"/>
      <w:szCs w:val="20"/>
      <w:lang w:eastAsia="zh-CN"/>
    </w:rPr>
  </w:style>
  <w:style w:type="paragraph" w:styleId="Textbubliny">
    <w:name w:val="Balloon Text"/>
    <w:basedOn w:val="Normln"/>
    <w:link w:val="TextbublinyChar"/>
    <w:uiPriority w:val="99"/>
    <w:semiHidden/>
    <w:unhideWhenUsed/>
    <w:rsid w:val="00F14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46A1"/>
    <w:rPr>
      <w:rFonts w:ascii="Segoe UI" w:eastAsiaTheme="minorEastAsia" w:hAnsi="Segoe UI" w:cs="Segoe UI"/>
      <w:sz w:val="18"/>
      <w:szCs w:val="18"/>
      <w:lang w:eastAsia="zh-CN"/>
    </w:rPr>
  </w:style>
  <w:style w:type="paragraph" w:styleId="Bezmezer">
    <w:name w:val="No Spacing"/>
    <w:uiPriority w:val="1"/>
    <w:qFormat/>
    <w:rsid w:val="00F146A1"/>
    <w:pPr>
      <w:spacing w:after="0" w:line="240" w:lineRule="auto"/>
      <w:jc w:val="both"/>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1510</Words>
  <Characters>8910</Characters>
  <Application>Microsoft Office Word</Application>
  <DocSecurity>0</DocSecurity>
  <Lines>74</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Skoupá Veronika</dc:creator>
  <cp:keywords/>
  <dc:description/>
  <cp:lastModifiedBy>Skoupá Veronika</cp:lastModifiedBy>
  <cp:revision>2</cp:revision>
  <dcterms:created xsi:type="dcterms:W3CDTF">2023-05-28T15:52:00Z</dcterms:created>
  <dcterms:modified xsi:type="dcterms:W3CDTF">2023-05-29T11:15:00Z</dcterms:modified>
</cp:coreProperties>
</file>